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438" w:rsidRDefault="001A7438">
      <w:pPr>
        <w:autoSpaceDE w:val="0"/>
        <w:autoSpaceDN w:val="0"/>
        <w:adjustRightInd w:val="0"/>
        <w:spacing w:line="360" w:lineRule="auto"/>
        <w:rPr>
          <w:rFonts w:ascii="Times New Roman" w:eastAsia="黑体" w:hAnsi="Times New Roman"/>
          <w:sz w:val="44"/>
          <w:szCs w:val="44"/>
          <w:lang w:val="zh-CN"/>
        </w:rPr>
      </w:pPr>
      <w:bookmarkStart w:id="0" w:name="_Toc465720328"/>
      <w:bookmarkStart w:id="1" w:name="_Toc515957804"/>
      <w:bookmarkStart w:id="2" w:name="_Toc515958027"/>
      <w:bookmarkStart w:id="3" w:name="_GoBack"/>
    </w:p>
    <w:p w:rsidR="001A7438" w:rsidRDefault="001A7438">
      <w:pPr>
        <w:autoSpaceDE w:val="0"/>
        <w:autoSpaceDN w:val="0"/>
        <w:adjustRightInd w:val="0"/>
        <w:spacing w:line="360" w:lineRule="auto"/>
        <w:rPr>
          <w:rFonts w:ascii="Times New Roman" w:eastAsia="黑体" w:hAnsi="Times New Roman"/>
          <w:sz w:val="44"/>
          <w:szCs w:val="44"/>
          <w:lang w:val="zh-CN"/>
        </w:rPr>
      </w:pPr>
    </w:p>
    <w:p w:rsidR="001A7438" w:rsidRDefault="001A7438">
      <w:pPr>
        <w:autoSpaceDE w:val="0"/>
        <w:autoSpaceDN w:val="0"/>
        <w:adjustRightInd w:val="0"/>
        <w:spacing w:line="360" w:lineRule="auto"/>
        <w:rPr>
          <w:rFonts w:ascii="Times New Roman" w:eastAsia="黑体" w:hAnsi="Times New Roman"/>
          <w:sz w:val="44"/>
          <w:szCs w:val="44"/>
          <w:lang w:val="zh-CN"/>
        </w:rPr>
      </w:pPr>
    </w:p>
    <w:p w:rsidR="001A7438" w:rsidRDefault="00534921">
      <w:pPr>
        <w:autoSpaceDE w:val="0"/>
        <w:autoSpaceDN w:val="0"/>
        <w:adjustRightInd w:val="0"/>
        <w:spacing w:beforeLines="50" w:before="156" w:afterLines="50" w:after="156" w:line="360" w:lineRule="auto"/>
        <w:jc w:val="center"/>
        <w:rPr>
          <w:rFonts w:ascii="Times New Roman" w:eastAsia="黑体" w:hAnsi="Times New Roman"/>
          <w:sz w:val="44"/>
          <w:szCs w:val="44"/>
          <w:lang w:val="zh-CN"/>
        </w:rPr>
      </w:pPr>
      <w:r>
        <w:rPr>
          <w:rFonts w:ascii="Times New Roman" w:eastAsia="黑体" w:hAnsi="Times New Roman" w:hint="eastAsia"/>
          <w:sz w:val="44"/>
          <w:szCs w:val="44"/>
          <w:lang w:val="zh-CN"/>
        </w:rPr>
        <w:t>《发电企业碳排放权交易技术指南》</w:t>
      </w:r>
      <w:bookmarkEnd w:id="0"/>
      <w:bookmarkEnd w:id="1"/>
      <w:bookmarkEnd w:id="2"/>
    </w:p>
    <w:p w:rsidR="001A7438" w:rsidRDefault="00534921">
      <w:pPr>
        <w:autoSpaceDE w:val="0"/>
        <w:autoSpaceDN w:val="0"/>
        <w:adjustRightInd w:val="0"/>
        <w:spacing w:beforeLines="50" w:before="156" w:afterLines="50" w:after="156" w:line="360" w:lineRule="auto"/>
        <w:jc w:val="center"/>
        <w:rPr>
          <w:rFonts w:ascii="Times New Roman" w:eastAsia="黑体" w:hAnsi="Times New Roman"/>
          <w:sz w:val="44"/>
          <w:szCs w:val="44"/>
          <w:lang w:val="zh-CN"/>
        </w:rPr>
      </w:pPr>
      <w:bookmarkStart w:id="4" w:name="_Toc515957805"/>
      <w:bookmarkStart w:id="5" w:name="_Toc515958028"/>
      <w:bookmarkStart w:id="6" w:name="_Toc465720329"/>
      <w:r>
        <w:rPr>
          <w:rFonts w:ascii="Times New Roman" w:eastAsia="黑体" w:hAnsi="Times New Roman" w:hint="eastAsia"/>
          <w:sz w:val="44"/>
          <w:szCs w:val="44"/>
          <w:lang w:val="zh-CN"/>
        </w:rPr>
        <w:t>编制说明</w:t>
      </w:r>
      <w:bookmarkEnd w:id="4"/>
      <w:bookmarkEnd w:id="5"/>
      <w:bookmarkEnd w:id="6"/>
    </w:p>
    <w:p w:rsidR="001A7438" w:rsidRDefault="001A7438">
      <w:pPr>
        <w:autoSpaceDE w:val="0"/>
        <w:autoSpaceDN w:val="0"/>
        <w:adjustRightInd w:val="0"/>
        <w:spacing w:line="360" w:lineRule="auto"/>
        <w:jc w:val="center"/>
        <w:outlineLvl w:val="0"/>
        <w:rPr>
          <w:rFonts w:ascii="Times New Roman" w:eastAsia="黑体" w:hAnsi="Times New Roman"/>
          <w:sz w:val="44"/>
          <w:szCs w:val="44"/>
          <w:lang w:val="zh-CN"/>
        </w:rPr>
      </w:pPr>
    </w:p>
    <w:p w:rsidR="001A7438" w:rsidRDefault="00534921">
      <w:pPr>
        <w:pStyle w:val="af1"/>
        <w:spacing w:before="0" w:beforeAutospacing="0" w:after="0" w:afterAutospacing="0"/>
        <w:jc w:val="center"/>
        <w:textAlignment w:val="baseline"/>
        <w:rPr>
          <w:rFonts w:cs="Times New Roman"/>
          <w:bCs/>
          <w:kern w:val="24"/>
          <w:sz w:val="40"/>
          <w:szCs w:val="40"/>
        </w:rPr>
      </w:pPr>
      <w:r>
        <w:rPr>
          <w:rFonts w:cs="Times New Roman" w:hint="eastAsia"/>
          <w:bCs/>
          <w:kern w:val="24"/>
          <w:sz w:val="40"/>
          <w:szCs w:val="40"/>
        </w:rPr>
        <w:t>（征求意见稿）</w:t>
      </w:r>
    </w:p>
    <w:p w:rsidR="001A7438" w:rsidRDefault="001A7438">
      <w:pPr>
        <w:pStyle w:val="af1"/>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1A7438" w:rsidRDefault="001A7438">
      <w:pPr>
        <w:pStyle w:val="af1"/>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1A7438" w:rsidRDefault="001A7438">
      <w:pPr>
        <w:pStyle w:val="af1"/>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1A7438" w:rsidRDefault="001A7438">
      <w:pPr>
        <w:pStyle w:val="af1"/>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1A7438" w:rsidRDefault="001A7438">
      <w:pPr>
        <w:pStyle w:val="af1"/>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1A7438" w:rsidRDefault="001A7438">
      <w:pPr>
        <w:pStyle w:val="af1"/>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1A7438" w:rsidRDefault="001A7438">
      <w:pPr>
        <w:pStyle w:val="af1"/>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1A7438" w:rsidRDefault="001A7438">
      <w:pPr>
        <w:pStyle w:val="af1"/>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1A7438" w:rsidRDefault="001A7438">
      <w:pPr>
        <w:pStyle w:val="af1"/>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1A7438" w:rsidRDefault="001A7438">
      <w:pPr>
        <w:pStyle w:val="af1"/>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1A7438" w:rsidRDefault="001A7438">
      <w:pPr>
        <w:autoSpaceDE w:val="0"/>
        <w:autoSpaceDN w:val="0"/>
        <w:adjustRightInd w:val="0"/>
        <w:spacing w:line="360" w:lineRule="auto"/>
        <w:jc w:val="center"/>
        <w:rPr>
          <w:rFonts w:ascii="Times New Roman" w:eastAsia="黑体" w:hAnsi="Times New Roman"/>
          <w:sz w:val="40"/>
          <w:szCs w:val="44"/>
          <w:lang w:val="zh-CN"/>
        </w:rPr>
      </w:pPr>
    </w:p>
    <w:p w:rsidR="001A7438" w:rsidRDefault="00534921">
      <w:pPr>
        <w:autoSpaceDE w:val="0"/>
        <w:autoSpaceDN w:val="0"/>
        <w:adjustRightInd w:val="0"/>
        <w:spacing w:line="360" w:lineRule="auto"/>
        <w:jc w:val="center"/>
        <w:rPr>
          <w:rFonts w:ascii="Times New Roman" w:eastAsia="黑体" w:hAnsi="Times New Roman"/>
          <w:sz w:val="40"/>
          <w:szCs w:val="44"/>
          <w:lang w:val="zh-CN"/>
        </w:rPr>
      </w:pPr>
      <w:bookmarkStart w:id="7" w:name="_Toc465720330"/>
      <w:bookmarkStart w:id="8" w:name="_Toc515957806"/>
      <w:bookmarkStart w:id="9" w:name="_Toc515958029"/>
      <w:r>
        <w:rPr>
          <w:rFonts w:ascii="Times New Roman" w:eastAsia="黑体" w:hAnsi="Times New Roman" w:hint="eastAsia"/>
          <w:sz w:val="40"/>
          <w:szCs w:val="44"/>
          <w:lang w:val="zh-CN"/>
        </w:rPr>
        <w:t>编制组</w:t>
      </w:r>
      <w:bookmarkEnd w:id="7"/>
      <w:bookmarkEnd w:id="8"/>
      <w:bookmarkEnd w:id="9"/>
    </w:p>
    <w:p w:rsidR="001A7438" w:rsidRDefault="00534921">
      <w:pPr>
        <w:widowControl/>
        <w:jc w:val="center"/>
        <w:rPr>
          <w:rFonts w:ascii="Times New Roman" w:eastAsia="黑体" w:hAnsi="Times New Roman" w:cs="Times New Roman"/>
          <w:sz w:val="32"/>
          <w:szCs w:val="32"/>
          <w:lang w:val="zh-CN"/>
        </w:rPr>
        <w:sectPr w:rsidR="001A7438">
          <w:headerReference w:type="default" r:id="rId9"/>
          <w:footerReference w:type="default" r:id="rId10"/>
          <w:type w:val="continuous"/>
          <w:pgSz w:w="11906" w:h="16838"/>
          <w:pgMar w:top="1440" w:right="1800" w:bottom="1440" w:left="1800" w:header="851" w:footer="992" w:gutter="0"/>
          <w:pgNumType w:start="1"/>
          <w:cols w:space="425"/>
          <w:titlePg/>
          <w:docGrid w:type="lines" w:linePitch="312"/>
        </w:sectPr>
      </w:pPr>
      <w:r>
        <w:rPr>
          <w:rFonts w:ascii="Times New Roman" w:eastAsia="黑体" w:hAnsi="Times New Roman" w:cs="Times New Roman"/>
          <w:sz w:val="32"/>
          <w:szCs w:val="32"/>
          <w:lang w:val="zh-CN"/>
        </w:rPr>
        <w:t>201</w:t>
      </w:r>
      <w:r>
        <w:rPr>
          <w:rFonts w:ascii="Times New Roman" w:eastAsia="黑体" w:hAnsi="Times New Roman" w:cs="Times New Roman" w:hint="eastAsia"/>
          <w:sz w:val="32"/>
          <w:szCs w:val="32"/>
          <w:lang w:val="zh-CN"/>
        </w:rPr>
        <w:t>8</w:t>
      </w:r>
      <w:r>
        <w:rPr>
          <w:rFonts w:ascii="Times New Roman" w:eastAsia="黑体" w:hAnsi="Times New Roman" w:cs="Times New Roman" w:hint="eastAsia"/>
          <w:sz w:val="32"/>
          <w:szCs w:val="32"/>
          <w:lang w:val="zh-CN"/>
        </w:rPr>
        <w:t>年</w:t>
      </w:r>
      <w:r>
        <w:rPr>
          <w:rFonts w:ascii="Times New Roman" w:eastAsia="黑体" w:hAnsi="Times New Roman" w:cs="Times New Roman" w:hint="eastAsia"/>
          <w:sz w:val="32"/>
          <w:szCs w:val="32"/>
          <w:lang w:val="zh-CN"/>
        </w:rPr>
        <w:t>11</w:t>
      </w:r>
      <w:r>
        <w:rPr>
          <w:rFonts w:ascii="Times New Roman" w:eastAsia="黑体" w:hAnsi="Times New Roman" w:cs="Times New Roman" w:hint="eastAsia"/>
          <w:sz w:val="32"/>
          <w:szCs w:val="32"/>
          <w:lang w:val="zh-CN"/>
        </w:rPr>
        <w:t>月</w:t>
      </w:r>
    </w:p>
    <w:p w:rsidR="001A7438" w:rsidRDefault="001A7438">
      <w:pPr>
        <w:widowControl/>
        <w:jc w:val="left"/>
        <w:rPr>
          <w:rFonts w:ascii="Times New Roman" w:eastAsia="黑体" w:hAnsi="Times New Roman" w:cs="Times New Roman"/>
          <w:sz w:val="32"/>
          <w:szCs w:val="32"/>
          <w:lang w:val="zh-CN"/>
        </w:rPr>
      </w:pPr>
    </w:p>
    <w:sdt>
      <w:sdtPr>
        <w:rPr>
          <w:rFonts w:asciiTheme="minorHAnsi" w:eastAsiaTheme="minorEastAsia" w:hAnsiTheme="minorHAnsi" w:cstheme="minorBidi"/>
          <w:color w:val="auto"/>
          <w:kern w:val="2"/>
          <w:sz w:val="21"/>
          <w:szCs w:val="22"/>
          <w:lang w:val="zh-CN"/>
        </w:rPr>
        <w:id w:val="976034359"/>
        <w:docPartObj>
          <w:docPartGallery w:val="Table of Contents"/>
          <w:docPartUnique/>
        </w:docPartObj>
      </w:sdtPr>
      <w:sdtEndPr>
        <w:rPr>
          <w:rFonts w:ascii="宋体" w:eastAsia="宋体" w:hAnsi="宋体"/>
          <w:b/>
          <w:bCs/>
          <w:sz w:val="24"/>
        </w:rPr>
      </w:sdtEndPr>
      <w:sdtContent>
        <w:p w:rsidR="001A7438" w:rsidRDefault="00534921">
          <w:pPr>
            <w:pStyle w:val="TOC1"/>
            <w:jc w:val="center"/>
            <w:rPr>
              <w:rFonts w:ascii="黑体" w:eastAsia="黑体" w:hAnsi="黑体"/>
              <w:color w:val="000000" w:themeColor="text1"/>
            </w:rPr>
          </w:pPr>
          <w:r>
            <w:rPr>
              <w:rFonts w:ascii="黑体" w:eastAsia="黑体" w:hAnsi="黑体"/>
              <w:color w:val="000000" w:themeColor="text1"/>
              <w:lang w:val="zh-CN"/>
            </w:rPr>
            <w:t>目  录</w:t>
          </w:r>
        </w:p>
        <w:p w:rsidR="001A7438" w:rsidRDefault="00534921">
          <w:pPr>
            <w:pStyle w:val="11"/>
            <w:tabs>
              <w:tab w:val="right" w:leader="dot" w:pos="8296"/>
            </w:tabs>
            <w:spacing w:line="360" w:lineRule="auto"/>
            <w:rPr>
              <w:rFonts w:ascii="宋体" w:eastAsia="宋体" w:hAnsi="宋体"/>
              <w:sz w:val="24"/>
            </w:rPr>
          </w:pPr>
          <w:r>
            <w:rPr>
              <w:rFonts w:ascii="宋体" w:eastAsia="宋体" w:hAnsi="宋体"/>
              <w:b/>
              <w:bCs/>
              <w:sz w:val="24"/>
              <w:lang w:val="zh-CN"/>
            </w:rPr>
            <w:fldChar w:fldCharType="begin" w:fldLock="1"/>
          </w:r>
          <w:r>
            <w:rPr>
              <w:rFonts w:ascii="宋体" w:eastAsia="宋体" w:hAnsi="宋体"/>
              <w:b/>
              <w:bCs/>
              <w:sz w:val="24"/>
              <w:lang w:val="zh-CN"/>
            </w:rPr>
            <w:instrText xml:space="preserve"> TOC \o "1-3" \h \z \u </w:instrText>
          </w:r>
          <w:r>
            <w:rPr>
              <w:rFonts w:ascii="宋体" w:eastAsia="宋体" w:hAnsi="宋体"/>
              <w:b/>
              <w:bCs/>
              <w:sz w:val="24"/>
              <w:lang w:val="zh-CN"/>
            </w:rPr>
            <w:fldChar w:fldCharType="separate"/>
          </w:r>
          <w:hyperlink w:anchor="_Toc531159884" w:history="1">
            <w:r>
              <w:rPr>
                <w:rStyle w:val="af2"/>
                <w:rFonts w:ascii="宋体" w:eastAsia="宋体" w:hAnsi="宋体" w:cs="Times New Roman"/>
                <w:sz w:val="24"/>
                <w:lang w:val="zh-CN"/>
              </w:rPr>
              <w:t xml:space="preserve">1. </w:t>
            </w:r>
            <w:r>
              <w:rPr>
                <w:rStyle w:val="af2"/>
                <w:rFonts w:ascii="宋体" w:eastAsia="宋体" w:hAnsi="宋体" w:cs="Times New Roman" w:hint="eastAsia"/>
                <w:sz w:val="24"/>
                <w:lang w:val="zh-CN"/>
              </w:rPr>
              <w:t>任务背景及任务来源</w:t>
            </w:r>
            <w:r>
              <w:rPr>
                <w:rFonts w:ascii="宋体" w:eastAsia="宋体" w:hAnsi="宋体"/>
                <w:sz w:val="24"/>
              </w:rPr>
              <w:tab/>
            </w:r>
            <w:r>
              <w:rPr>
                <w:rFonts w:ascii="宋体" w:eastAsia="宋体" w:hAnsi="宋体"/>
                <w:sz w:val="24"/>
              </w:rPr>
              <w:fldChar w:fldCharType="begin" w:fldLock="1"/>
            </w:r>
            <w:r>
              <w:rPr>
                <w:rFonts w:ascii="宋体" w:eastAsia="宋体" w:hAnsi="宋体"/>
                <w:sz w:val="24"/>
              </w:rPr>
              <w:instrText xml:space="preserve"> PAGEREF _Toc531159884 \h </w:instrText>
            </w:r>
            <w:r>
              <w:rPr>
                <w:rFonts w:ascii="宋体" w:eastAsia="宋体" w:hAnsi="宋体"/>
                <w:sz w:val="24"/>
              </w:rPr>
            </w:r>
            <w:r>
              <w:rPr>
                <w:rFonts w:ascii="宋体" w:eastAsia="宋体" w:hAnsi="宋体"/>
                <w:sz w:val="24"/>
              </w:rPr>
              <w:fldChar w:fldCharType="separate"/>
            </w:r>
            <w:r>
              <w:rPr>
                <w:rFonts w:ascii="宋体" w:eastAsia="宋体" w:hAnsi="宋体"/>
                <w:sz w:val="24"/>
              </w:rPr>
              <w:t>1</w:t>
            </w:r>
            <w:r>
              <w:rPr>
                <w:rFonts w:ascii="宋体" w:eastAsia="宋体" w:hAnsi="宋体"/>
                <w:sz w:val="24"/>
              </w:rPr>
              <w:fldChar w:fldCharType="end"/>
            </w:r>
          </w:hyperlink>
        </w:p>
        <w:p w:rsidR="001A7438" w:rsidRDefault="001E111C">
          <w:pPr>
            <w:pStyle w:val="11"/>
            <w:tabs>
              <w:tab w:val="right" w:leader="dot" w:pos="8296"/>
            </w:tabs>
            <w:spacing w:line="360" w:lineRule="auto"/>
            <w:rPr>
              <w:rFonts w:ascii="宋体" w:eastAsia="宋体" w:hAnsi="宋体"/>
              <w:sz w:val="24"/>
            </w:rPr>
          </w:pPr>
          <w:hyperlink w:anchor="_Toc531159885" w:history="1">
            <w:r w:rsidR="00534921">
              <w:rPr>
                <w:rStyle w:val="af2"/>
                <w:rFonts w:ascii="宋体" w:eastAsia="宋体" w:hAnsi="宋体" w:cs="Times New Roman"/>
                <w:sz w:val="24"/>
                <w:lang w:val="zh-CN"/>
              </w:rPr>
              <w:t xml:space="preserve">2. </w:t>
            </w:r>
            <w:r w:rsidR="00534921">
              <w:rPr>
                <w:rStyle w:val="af2"/>
                <w:rFonts w:ascii="宋体" w:eastAsia="宋体" w:hAnsi="宋体" w:cs="Times New Roman" w:hint="eastAsia"/>
                <w:sz w:val="24"/>
                <w:lang w:val="zh-CN"/>
              </w:rPr>
              <w:t>编制过程说明</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_Toc531159885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1</w:t>
            </w:r>
            <w:r w:rsidR="00534921">
              <w:rPr>
                <w:rFonts w:ascii="宋体" w:eastAsia="宋体" w:hAnsi="宋体"/>
                <w:sz w:val="24"/>
              </w:rPr>
              <w:fldChar w:fldCharType="end"/>
            </w:r>
          </w:hyperlink>
        </w:p>
        <w:p w:rsidR="001A7438" w:rsidRDefault="001E111C">
          <w:pPr>
            <w:pStyle w:val="21"/>
            <w:tabs>
              <w:tab w:val="right" w:leader="dot" w:pos="8296"/>
            </w:tabs>
            <w:spacing w:line="360" w:lineRule="auto"/>
            <w:rPr>
              <w:rFonts w:ascii="宋体" w:eastAsia="宋体" w:hAnsi="宋体"/>
              <w:sz w:val="24"/>
            </w:rPr>
          </w:pPr>
          <w:hyperlink w:anchor="_Toc531159886" w:history="1">
            <w:r w:rsidR="00534921">
              <w:rPr>
                <w:rStyle w:val="af2"/>
                <w:rFonts w:ascii="宋体" w:eastAsia="宋体" w:hAnsi="宋体"/>
                <w:sz w:val="24"/>
                <w:lang w:val="zh-CN"/>
              </w:rPr>
              <w:t xml:space="preserve">2.1 </w:t>
            </w:r>
            <w:r w:rsidR="00534921">
              <w:rPr>
                <w:rStyle w:val="af2"/>
                <w:rFonts w:ascii="宋体" w:eastAsia="宋体" w:hAnsi="宋体" w:hint="eastAsia"/>
                <w:sz w:val="24"/>
                <w:lang w:val="zh-CN"/>
              </w:rPr>
              <w:t>参编单位</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_Toc531159886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1</w:t>
            </w:r>
            <w:r w:rsidR="00534921">
              <w:rPr>
                <w:rFonts w:ascii="宋体" w:eastAsia="宋体" w:hAnsi="宋体"/>
                <w:sz w:val="24"/>
              </w:rPr>
              <w:fldChar w:fldCharType="end"/>
            </w:r>
          </w:hyperlink>
        </w:p>
        <w:p w:rsidR="001A7438" w:rsidRDefault="001E111C">
          <w:pPr>
            <w:pStyle w:val="21"/>
            <w:tabs>
              <w:tab w:val="right" w:leader="dot" w:pos="8296"/>
            </w:tabs>
            <w:spacing w:line="360" w:lineRule="auto"/>
            <w:rPr>
              <w:rFonts w:ascii="宋体" w:eastAsia="宋体" w:hAnsi="宋体"/>
              <w:sz w:val="24"/>
            </w:rPr>
          </w:pPr>
          <w:hyperlink w:anchor="_Toc531159887" w:history="1">
            <w:r w:rsidR="00534921">
              <w:rPr>
                <w:rStyle w:val="af2"/>
                <w:rFonts w:ascii="宋体" w:eastAsia="宋体" w:hAnsi="宋体"/>
                <w:sz w:val="24"/>
                <w:lang w:val="zh-CN"/>
              </w:rPr>
              <w:t xml:space="preserve">2.2 </w:t>
            </w:r>
            <w:r w:rsidR="00534921">
              <w:rPr>
                <w:rStyle w:val="af2"/>
                <w:rFonts w:ascii="宋体" w:eastAsia="宋体" w:hAnsi="宋体" w:hint="eastAsia"/>
                <w:sz w:val="24"/>
                <w:lang w:val="zh-CN"/>
              </w:rPr>
              <w:t>主要起草人</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_Toc531159887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1</w:t>
            </w:r>
            <w:r w:rsidR="00534921">
              <w:rPr>
                <w:rFonts w:ascii="宋体" w:eastAsia="宋体" w:hAnsi="宋体"/>
                <w:sz w:val="24"/>
              </w:rPr>
              <w:fldChar w:fldCharType="end"/>
            </w:r>
          </w:hyperlink>
        </w:p>
        <w:p w:rsidR="001A7438" w:rsidRDefault="001E111C">
          <w:pPr>
            <w:pStyle w:val="21"/>
            <w:tabs>
              <w:tab w:val="right" w:leader="dot" w:pos="8296"/>
            </w:tabs>
            <w:spacing w:line="360" w:lineRule="auto"/>
            <w:rPr>
              <w:rFonts w:ascii="宋体" w:eastAsia="宋体" w:hAnsi="宋体"/>
              <w:sz w:val="24"/>
            </w:rPr>
          </w:pPr>
          <w:hyperlink w:anchor="_Toc531159888" w:history="1">
            <w:r w:rsidR="00534921">
              <w:rPr>
                <w:rStyle w:val="af2"/>
                <w:rFonts w:ascii="宋体" w:eastAsia="宋体" w:hAnsi="宋体"/>
                <w:sz w:val="24"/>
                <w:lang w:val="zh-CN"/>
              </w:rPr>
              <w:t xml:space="preserve">2.3 </w:t>
            </w:r>
            <w:r w:rsidR="00534921">
              <w:rPr>
                <w:rStyle w:val="af2"/>
                <w:rFonts w:ascii="宋体" w:eastAsia="宋体" w:hAnsi="宋体" w:hint="eastAsia"/>
                <w:sz w:val="24"/>
                <w:lang w:val="zh-CN"/>
              </w:rPr>
              <w:t>起草人工作及主要编制过程</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_Toc531159888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2</w:t>
            </w:r>
            <w:r w:rsidR="00534921">
              <w:rPr>
                <w:rFonts w:ascii="宋体" w:eastAsia="宋体" w:hAnsi="宋体"/>
                <w:sz w:val="24"/>
              </w:rPr>
              <w:fldChar w:fldCharType="end"/>
            </w:r>
          </w:hyperlink>
        </w:p>
        <w:p w:rsidR="001A7438" w:rsidRDefault="001E111C">
          <w:pPr>
            <w:pStyle w:val="11"/>
            <w:tabs>
              <w:tab w:val="right" w:leader="dot" w:pos="8296"/>
            </w:tabs>
            <w:spacing w:line="360" w:lineRule="auto"/>
            <w:rPr>
              <w:rFonts w:ascii="宋体" w:eastAsia="宋体" w:hAnsi="宋体"/>
              <w:sz w:val="24"/>
            </w:rPr>
          </w:pPr>
          <w:hyperlink w:anchor="_Toc531159889" w:history="1">
            <w:r w:rsidR="00534921">
              <w:rPr>
                <w:rStyle w:val="af2"/>
                <w:rFonts w:ascii="宋体" w:eastAsia="宋体" w:hAnsi="宋体" w:cs="Times New Roman"/>
                <w:sz w:val="24"/>
                <w:lang w:val="zh-CN"/>
              </w:rPr>
              <w:t xml:space="preserve">3. </w:t>
            </w:r>
            <w:r w:rsidR="00534921">
              <w:rPr>
                <w:rStyle w:val="af2"/>
                <w:rFonts w:ascii="宋体" w:eastAsia="宋体" w:hAnsi="宋体" w:cs="Times New Roman" w:hint="eastAsia"/>
                <w:sz w:val="24"/>
                <w:lang w:val="zh-CN"/>
              </w:rPr>
              <w:t>编写原则和主要内容</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_Toc531159889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2</w:t>
            </w:r>
            <w:r w:rsidR="00534921">
              <w:rPr>
                <w:rFonts w:ascii="宋体" w:eastAsia="宋体" w:hAnsi="宋体"/>
                <w:sz w:val="24"/>
              </w:rPr>
              <w:fldChar w:fldCharType="end"/>
            </w:r>
          </w:hyperlink>
        </w:p>
        <w:p w:rsidR="001A7438" w:rsidRDefault="001E111C">
          <w:pPr>
            <w:pStyle w:val="21"/>
            <w:tabs>
              <w:tab w:val="right" w:leader="dot" w:pos="8296"/>
            </w:tabs>
            <w:spacing w:line="360" w:lineRule="auto"/>
            <w:rPr>
              <w:rFonts w:ascii="宋体" w:eastAsia="宋体" w:hAnsi="宋体"/>
              <w:sz w:val="24"/>
            </w:rPr>
          </w:pPr>
          <w:hyperlink w:anchor="_Toc531159890" w:history="1">
            <w:r w:rsidR="00534921">
              <w:rPr>
                <w:rStyle w:val="af2"/>
                <w:rFonts w:ascii="宋体" w:eastAsia="宋体" w:hAnsi="宋体"/>
                <w:sz w:val="24"/>
                <w:lang w:val="zh-CN"/>
              </w:rPr>
              <w:t xml:space="preserve">3.1 </w:t>
            </w:r>
            <w:r w:rsidR="00534921">
              <w:rPr>
                <w:rStyle w:val="af2"/>
                <w:rFonts w:ascii="宋体" w:eastAsia="宋体" w:hAnsi="宋体" w:hint="eastAsia"/>
                <w:sz w:val="24"/>
                <w:lang w:val="zh-CN"/>
              </w:rPr>
              <w:t>标准编制原则</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_Toc531159890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2</w:t>
            </w:r>
            <w:r w:rsidR="00534921">
              <w:rPr>
                <w:rFonts w:ascii="宋体" w:eastAsia="宋体" w:hAnsi="宋体"/>
                <w:sz w:val="24"/>
              </w:rPr>
              <w:fldChar w:fldCharType="end"/>
            </w:r>
          </w:hyperlink>
        </w:p>
        <w:p w:rsidR="001A7438" w:rsidRDefault="001E111C">
          <w:pPr>
            <w:pStyle w:val="21"/>
            <w:tabs>
              <w:tab w:val="right" w:leader="dot" w:pos="8296"/>
            </w:tabs>
            <w:spacing w:line="360" w:lineRule="auto"/>
            <w:rPr>
              <w:rFonts w:ascii="宋体" w:eastAsia="宋体" w:hAnsi="宋体"/>
              <w:sz w:val="24"/>
            </w:rPr>
          </w:pPr>
          <w:hyperlink w:anchor="_Toc531159891" w:history="1">
            <w:r w:rsidR="00534921">
              <w:rPr>
                <w:rStyle w:val="af2"/>
                <w:rFonts w:ascii="宋体" w:eastAsia="宋体" w:hAnsi="宋体"/>
                <w:sz w:val="24"/>
                <w:lang w:val="zh-CN"/>
              </w:rPr>
              <w:t xml:space="preserve">3.2 </w:t>
            </w:r>
            <w:r w:rsidR="00534921">
              <w:rPr>
                <w:rStyle w:val="af2"/>
                <w:rFonts w:ascii="宋体" w:eastAsia="宋体" w:hAnsi="宋体" w:hint="eastAsia"/>
                <w:sz w:val="24"/>
                <w:lang w:val="zh-CN"/>
              </w:rPr>
              <w:t>主要内容</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_Toc531159891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2</w:t>
            </w:r>
            <w:r w:rsidR="00534921">
              <w:rPr>
                <w:rFonts w:ascii="宋体" w:eastAsia="宋体" w:hAnsi="宋体"/>
                <w:sz w:val="24"/>
              </w:rPr>
              <w:fldChar w:fldCharType="end"/>
            </w:r>
          </w:hyperlink>
        </w:p>
        <w:p w:rsidR="001A7438" w:rsidRDefault="001E111C">
          <w:pPr>
            <w:pStyle w:val="11"/>
            <w:tabs>
              <w:tab w:val="right" w:leader="dot" w:pos="8296"/>
            </w:tabs>
            <w:spacing w:line="360" w:lineRule="auto"/>
            <w:rPr>
              <w:rFonts w:ascii="宋体" w:eastAsia="宋体" w:hAnsi="宋体"/>
              <w:sz w:val="24"/>
            </w:rPr>
          </w:pPr>
          <w:hyperlink w:anchor="_Toc531159892" w:history="1">
            <w:r w:rsidR="00534921">
              <w:rPr>
                <w:rStyle w:val="af2"/>
                <w:rFonts w:ascii="宋体" w:eastAsia="宋体" w:hAnsi="宋体" w:cs="Times New Roman"/>
                <w:sz w:val="24"/>
                <w:lang w:val="zh-CN"/>
              </w:rPr>
              <w:t xml:space="preserve">4. </w:t>
            </w:r>
            <w:r w:rsidR="00534921">
              <w:rPr>
                <w:rStyle w:val="af2"/>
                <w:rFonts w:ascii="宋体" w:eastAsia="宋体" w:hAnsi="宋体" w:cs="Times New Roman" w:hint="eastAsia"/>
                <w:sz w:val="24"/>
                <w:lang w:val="zh-CN"/>
              </w:rPr>
              <w:t>预期达到的效果</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_Toc531159892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3</w:t>
            </w:r>
            <w:r w:rsidR="00534921">
              <w:rPr>
                <w:rFonts w:ascii="宋体" w:eastAsia="宋体" w:hAnsi="宋体"/>
                <w:sz w:val="24"/>
              </w:rPr>
              <w:fldChar w:fldCharType="end"/>
            </w:r>
          </w:hyperlink>
        </w:p>
        <w:p w:rsidR="001A7438" w:rsidRDefault="001E111C">
          <w:pPr>
            <w:pStyle w:val="11"/>
            <w:tabs>
              <w:tab w:val="right" w:leader="dot" w:pos="8296"/>
            </w:tabs>
            <w:spacing w:line="360" w:lineRule="auto"/>
            <w:rPr>
              <w:rFonts w:ascii="宋体" w:eastAsia="宋体" w:hAnsi="宋体"/>
              <w:sz w:val="24"/>
            </w:rPr>
          </w:pPr>
          <w:hyperlink w:anchor="_Toc531159893" w:history="1">
            <w:r w:rsidR="00534921">
              <w:rPr>
                <w:rStyle w:val="af2"/>
                <w:rFonts w:ascii="宋体" w:eastAsia="宋体" w:hAnsi="宋体" w:cs="Times New Roman"/>
                <w:sz w:val="24"/>
                <w:lang w:val="zh-CN"/>
              </w:rPr>
              <w:t xml:space="preserve">5. </w:t>
            </w:r>
            <w:r w:rsidR="00534921">
              <w:rPr>
                <w:rStyle w:val="af2"/>
                <w:rFonts w:ascii="宋体" w:eastAsia="宋体" w:hAnsi="宋体" w:cs="Times New Roman" w:hint="eastAsia"/>
                <w:sz w:val="24"/>
                <w:lang w:val="zh-CN"/>
              </w:rPr>
              <w:t>与现行法律、法规、政策及相关标准的协调关系</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_Toc531159893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4</w:t>
            </w:r>
            <w:r w:rsidR="00534921">
              <w:rPr>
                <w:rFonts w:ascii="宋体" w:eastAsia="宋体" w:hAnsi="宋体"/>
                <w:sz w:val="24"/>
              </w:rPr>
              <w:fldChar w:fldCharType="end"/>
            </w:r>
          </w:hyperlink>
        </w:p>
        <w:p w:rsidR="001A7438" w:rsidRDefault="001E111C">
          <w:pPr>
            <w:pStyle w:val="11"/>
            <w:tabs>
              <w:tab w:val="right" w:leader="dot" w:pos="8296"/>
            </w:tabs>
            <w:spacing w:line="360" w:lineRule="auto"/>
            <w:rPr>
              <w:rFonts w:ascii="宋体" w:eastAsia="宋体" w:hAnsi="宋体"/>
              <w:sz w:val="24"/>
            </w:rPr>
          </w:pPr>
          <w:hyperlink w:anchor="_Toc531159894" w:history="1">
            <w:r w:rsidR="00534921">
              <w:rPr>
                <w:rStyle w:val="af2"/>
                <w:rFonts w:ascii="宋体" w:eastAsia="宋体" w:hAnsi="宋体" w:cs="Times New Roman"/>
                <w:sz w:val="24"/>
                <w:lang w:val="zh-CN"/>
              </w:rPr>
              <w:t xml:space="preserve">6. </w:t>
            </w:r>
            <w:r w:rsidR="00534921">
              <w:rPr>
                <w:rStyle w:val="af2"/>
                <w:rFonts w:ascii="宋体" w:eastAsia="宋体" w:hAnsi="宋体" w:cs="Times New Roman" w:hint="eastAsia"/>
                <w:sz w:val="24"/>
                <w:lang w:val="zh-CN"/>
              </w:rPr>
              <w:t>贯彻标准的要求和措施建议</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_Toc531159894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4</w:t>
            </w:r>
            <w:r w:rsidR="00534921">
              <w:rPr>
                <w:rFonts w:ascii="宋体" w:eastAsia="宋体" w:hAnsi="宋体"/>
                <w:sz w:val="24"/>
              </w:rPr>
              <w:fldChar w:fldCharType="end"/>
            </w:r>
          </w:hyperlink>
        </w:p>
        <w:p w:rsidR="001A7438" w:rsidRDefault="001E111C">
          <w:pPr>
            <w:pStyle w:val="11"/>
            <w:tabs>
              <w:tab w:val="right" w:leader="dot" w:pos="8296"/>
            </w:tabs>
            <w:spacing w:line="360" w:lineRule="auto"/>
            <w:rPr>
              <w:rFonts w:ascii="宋体" w:eastAsia="宋体" w:hAnsi="宋体"/>
              <w:sz w:val="24"/>
            </w:rPr>
          </w:pPr>
          <w:hyperlink w:anchor="_Toc531159895" w:history="1">
            <w:r w:rsidR="00534921">
              <w:rPr>
                <w:rStyle w:val="af2"/>
                <w:rFonts w:ascii="宋体" w:eastAsia="宋体" w:hAnsi="宋体" w:cs="Times New Roman"/>
                <w:sz w:val="24"/>
                <w:lang w:val="zh-CN"/>
              </w:rPr>
              <w:t xml:space="preserve">7. </w:t>
            </w:r>
            <w:r w:rsidR="00534921">
              <w:rPr>
                <w:rStyle w:val="af2"/>
                <w:rFonts w:ascii="宋体" w:eastAsia="宋体" w:hAnsi="宋体" w:cs="Times New Roman" w:hint="eastAsia"/>
                <w:sz w:val="24"/>
                <w:lang w:val="zh-CN"/>
              </w:rPr>
              <w:t>采用国际标准和国外先进标准情况</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_Toc531159895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4</w:t>
            </w:r>
            <w:r w:rsidR="00534921">
              <w:rPr>
                <w:rFonts w:ascii="宋体" w:eastAsia="宋体" w:hAnsi="宋体"/>
                <w:sz w:val="24"/>
              </w:rPr>
              <w:fldChar w:fldCharType="end"/>
            </w:r>
          </w:hyperlink>
        </w:p>
        <w:p w:rsidR="001A7438" w:rsidRDefault="001E111C">
          <w:pPr>
            <w:pStyle w:val="11"/>
            <w:tabs>
              <w:tab w:val="right" w:leader="dot" w:pos="8296"/>
            </w:tabs>
            <w:spacing w:line="360" w:lineRule="auto"/>
            <w:rPr>
              <w:rFonts w:ascii="宋体" w:eastAsia="宋体" w:hAnsi="宋体"/>
              <w:sz w:val="24"/>
            </w:rPr>
          </w:pPr>
          <w:hyperlink w:anchor="_Toc531159896" w:history="1">
            <w:r w:rsidR="00534921">
              <w:rPr>
                <w:rStyle w:val="af2"/>
                <w:rFonts w:ascii="宋体" w:eastAsia="宋体" w:hAnsi="宋体" w:cs="Times New Roman"/>
                <w:sz w:val="24"/>
                <w:lang w:val="zh-CN"/>
              </w:rPr>
              <w:t xml:space="preserve">8. </w:t>
            </w:r>
            <w:r w:rsidR="00534921">
              <w:rPr>
                <w:rStyle w:val="af2"/>
                <w:rFonts w:ascii="宋体" w:eastAsia="宋体" w:hAnsi="宋体" w:cs="Times New Roman" w:hint="eastAsia"/>
                <w:sz w:val="24"/>
                <w:lang w:val="zh-CN"/>
              </w:rPr>
              <w:t>代替或废止现行标准的建议</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_Toc531159896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4</w:t>
            </w:r>
            <w:r w:rsidR="00534921">
              <w:rPr>
                <w:rFonts w:ascii="宋体" w:eastAsia="宋体" w:hAnsi="宋体"/>
                <w:sz w:val="24"/>
              </w:rPr>
              <w:fldChar w:fldCharType="end"/>
            </w:r>
          </w:hyperlink>
        </w:p>
        <w:p w:rsidR="001A7438" w:rsidRDefault="001E111C">
          <w:pPr>
            <w:pStyle w:val="11"/>
            <w:tabs>
              <w:tab w:val="right" w:leader="dot" w:pos="8296"/>
            </w:tabs>
            <w:spacing w:line="360" w:lineRule="auto"/>
            <w:rPr>
              <w:rFonts w:ascii="宋体" w:eastAsia="宋体" w:hAnsi="宋体"/>
              <w:sz w:val="24"/>
            </w:rPr>
          </w:pPr>
          <w:hyperlink w:anchor="_Toc531159897" w:history="1">
            <w:r w:rsidR="00534921">
              <w:rPr>
                <w:rStyle w:val="af2"/>
                <w:rFonts w:ascii="宋体" w:eastAsia="宋体" w:hAnsi="宋体" w:cs="Times New Roman"/>
                <w:sz w:val="24"/>
                <w:lang w:val="zh-CN"/>
              </w:rPr>
              <w:t xml:space="preserve">9. </w:t>
            </w:r>
            <w:r w:rsidR="00534921">
              <w:rPr>
                <w:rStyle w:val="af2"/>
                <w:rFonts w:ascii="宋体" w:eastAsia="宋体" w:hAnsi="宋体" w:cs="Times New Roman" w:hint="eastAsia"/>
                <w:sz w:val="24"/>
                <w:lang w:val="zh-CN"/>
              </w:rPr>
              <w:t>重要技术内容的解释和其它应予说明的事项</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_Toc531159897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4</w:t>
            </w:r>
            <w:r w:rsidR="00534921">
              <w:rPr>
                <w:rFonts w:ascii="宋体" w:eastAsia="宋体" w:hAnsi="宋体"/>
                <w:sz w:val="24"/>
              </w:rPr>
              <w:fldChar w:fldCharType="end"/>
            </w:r>
          </w:hyperlink>
        </w:p>
        <w:p w:rsidR="001A7438" w:rsidRDefault="001E111C">
          <w:pPr>
            <w:pStyle w:val="21"/>
            <w:tabs>
              <w:tab w:val="right" w:leader="dot" w:pos="8296"/>
            </w:tabs>
            <w:spacing w:line="360" w:lineRule="auto"/>
            <w:rPr>
              <w:rFonts w:ascii="宋体" w:eastAsia="宋体" w:hAnsi="宋体"/>
              <w:sz w:val="24"/>
            </w:rPr>
          </w:pPr>
          <w:hyperlink w:anchor="_Toc531159898" w:history="1">
            <w:r w:rsidR="00534921">
              <w:rPr>
                <w:rStyle w:val="af2"/>
                <w:rFonts w:ascii="宋体" w:eastAsia="宋体" w:hAnsi="宋体"/>
                <w:sz w:val="24"/>
                <w:lang w:val="zh-CN"/>
              </w:rPr>
              <w:t xml:space="preserve">9.1 </w:t>
            </w:r>
            <w:r w:rsidR="00534921">
              <w:rPr>
                <w:rStyle w:val="af2"/>
                <w:rFonts w:ascii="宋体" w:eastAsia="宋体" w:hAnsi="宋体" w:hint="eastAsia"/>
                <w:sz w:val="24"/>
                <w:lang w:val="zh-CN"/>
              </w:rPr>
              <w:t>适用范围</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_Toc531159898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4</w:t>
            </w:r>
            <w:r w:rsidR="00534921">
              <w:rPr>
                <w:rFonts w:ascii="宋体" w:eastAsia="宋体" w:hAnsi="宋体"/>
                <w:sz w:val="24"/>
              </w:rPr>
              <w:fldChar w:fldCharType="end"/>
            </w:r>
          </w:hyperlink>
        </w:p>
        <w:p w:rsidR="001A7438" w:rsidRDefault="001E111C">
          <w:pPr>
            <w:pStyle w:val="21"/>
            <w:tabs>
              <w:tab w:val="right" w:leader="dot" w:pos="8296"/>
            </w:tabs>
            <w:spacing w:line="360" w:lineRule="auto"/>
            <w:rPr>
              <w:rFonts w:ascii="宋体" w:eastAsia="宋体" w:hAnsi="宋体"/>
              <w:sz w:val="24"/>
            </w:rPr>
          </w:pPr>
          <w:hyperlink w:anchor="_Toc531159899" w:history="1">
            <w:r w:rsidR="00534921">
              <w:rPr>
                <w:rStyle w:val="af2"/>
                <w:rFonts w:ascii="宋体" w:eastAsia="宋体" w:hAnsi="宋体"/>
                <w:sz w:val="24"/>
                <w:lang w:val="zh-CN"/>
              </w:rPr>
              <w:t xml:space="preserve">9.2 </w:t>
            </w:r>
            <w:r w:rsidR="00534921">
              <w:rPr>
                <w:rStyle w:val="af2"/>
                <w:rFonts w:ascii="宋体" w:eastAsia="宋体" w:hAnsi="宋体" w:hint="eastAsia"/>
                <w:sz w:val="24"/>
                <w:lang w:val="zh-CN"/>
              </w:rPr>
              <w:t>术语及定义</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_Toc531159899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5</w:t>
            </w:r>
            <w:r w:rsidR="00534921">
              <w:rPr>
                <w:rFonts w:ascii="宋体" w:eastAsia="宋体" w:hAnsi="宋体"/>
                <w:sz w:val="24"/>
              </w:rPr>
              <w:fldChar w:fldCharType="end"/>
            </w:r>
          </w:hyperlink>
        </w:p>
        <w:p w:rsidR="001A7438" w:rsidRDefault="001E111C">
          <w:pPr>
            <w:pStyle w:val="21"/>
            <w:tabs>
              <w:tab w:val="right" w:leader="dot" w:pos="8296"/>
            </w:tabs>
            <w:spacing w:line="360" w:lineRule="auto"/>
            <w:rPr>
              <w:rFonts w:ascii="宋体" w:eastAsia="宋体" w:hAnsi="宋体"/>
              <w:sz w:val="24"/>
            </w:rPr>
          </w:pPr>
          <w:hyperlink w:anchor="_Toc531159900" w:history="1">
            <w:r w:rsidR="00534921">
              <w:rPr>
                <w:rStyle w:val="af2"/>
                <w:rFonts w:ascii="宋体" w:eastAsia="宋体" w:hAnsi="宋体"/>
                <w:sz w:val="24"/>
                <w:lang w:val="zh-CN"/>
              </w:rPr>
              <w:t xml:space="preserve">9.3 </w:t>
            </w:r>
            <w:r w:rsidR="00534921">
              <w:rPr>
                <w:rStyle w:val="af2"/>
                <w:rFonts w:ascii="宋体" w:eastAsia="宋体" w:hAnsi="宋体" w:hint="eastAsia"/>
                <w:sz w:val="24"/>
                <w:lang w:val="zh-CN"/>
              </w:rPr>
              <w:t>交易原则</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_Toc531159900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5</w:t>
            </w:r>
            <w:r w:rsidR="00534921">
              <w:rPr>
                <w:rFonts w:ascii="宋体" w:eastAsia="宋体" w:hAnsi="宋体"/>
                <w:sz w:val="24"/>
              </w:rPr>
              <w:fldChar w:fldCharType="end"/>
            </w:r>
          </w:hyperlink>
        </w:p>
        <w:p w:rsidR="001A7438" w:rsidRDefault="001E111C">
          <w:pPr>
            <w:pStyle w:val="21"/>
            <w:tabs>
              <w:tab w:val="right" w:leader="dot" w:pos="8296"/>
            </w:tabs>
            <w:spacing w:line="360" w:lineRule="auto"/>
            <w:rPr>
              <w:rFonts w:ascii="宋体" w:eastAsia="宋体" w:hAnsi="宋体"/>
              <w:sz w:val="24"/>
            </w:rPr>
          </w:pPr>
          <w:hyperlink w:anchor="_Toc531159901" w:history="1">
            <w:r w:rsidR="00534921">
              <w:rPr>
                <w:rStyle w:val="af2"/>
                <w:rFonts w:ascii="宋体" w:eastAsia="宋体" w:hAnsi="宋体"/>
                <w:sz w:val="24"/>
                <w:lang w:val="zh-CN"/>
              </w:rPr>
              <w:t xml:space="preserve">9.4 </w:t>
            </w:r>
            <w:r w:rsidR="00534921">
              <w:rPr>
                <w:rStyle w:val="af2"/>
                <w:rFonts w:ascii="宋体" w:eastAsia="宋体" w:hAnsi="宋体" w:hint="eastAsia"/>
                <w:sz w:val="24"/>
                <w:lang w:val="zh-CN"/>
              </w:rPr>
              <w:t>管理体系</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_Toc531159901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5</w:t>
            </w:r>
            <w:r w:rsidR="00534921">
              <w:rPr>
                <w:rFonts w:ascii="宋体" w:eastAsia="宋体" w:hAnsi="宋体"/>
                <w:sz w:val="24"/>
              </w:rPr>
              <w:fldChar w:fldCharType="end"/>
            </w:r>
          </w:hyperlink>
        </w:p>
        <w:p w:rsidR="001A7438" w:rsidRDefault="001E111C">
          <w:pPr>
            <w:pStyle w:val="21"/>
            <w:tabs>
              <w:tab w:val="right" w:leader="dot" w:pos="8296"/>
            </w:tabs>
            <w:spacing w:line="360" w:lineRule="auto"/>
            <w:rPr>
              <w:rFonts w:ascii="宋体" w:eastAsia="宋体" w:hAnsi="宋体"/>
              <w:sz w:val="24"/>
            </w:rPr>
          </w:pPr>
          <w:hyperlink w:anchor="_Toc531159902" w:history="1">
            <w:r w:rsidR="00534921">
              <w:rPr>
                <w:rStyle w:val="af2"/>
                <w:rFonts w:ascii="宋体" w:eastAsia="宋体" w:hAnsi="宋体"/>
                <w:sz w:val="24"/>
                <w:lang w:val="zh-CN"/>
              </w:rPr>
              <w:t xml:space="preserve">9.5 </w:t>
            </w:r>
            <w:r w:rsidR="00534921">
              <w:rPr>
                <w:rStyle w:val="af2"/>
                <w:rFonts w:ascii="宋体" w:eastAsia="宋体" w:hAnsi="宋体" w:hint="eastAsia"/>
                <w:sz w:val="24"/>
                <w:lang w:val="zh-CN"/>
              </w:rPr>
              <w:t>碳排放权交易工作实施</w:t>
            </w:r>
            <w:r w:rsidR="00534921">
              <w:rPr>
                <w:rFonts w:ascii="宋体" w:eastAsia="宋体" w:hAnsi="宋体"/>
                <w:sz w:val="24"/>
              </w:rPr>
              <w:tab/>
            </w:r>
            <w:r w:rsidR="00534921">
              <w:rPr>
                <w:rFonts w:ascii="宋体" w:eastAsia="宋体" w:hAnsi="宋体"/>
                <w:sz w:val="24"/>
              </w:rPr>
              <w:fldChar w:fldCharType="begin" w:fldLock="1"/>
            </w:r>
            <w:r w:rsidR="00534921">
              <w:rPr>
                <w:rFonts w:ascii="宋体" w:eastAsia="宋体" w:hAnsi="宋体"/>
                <w:sz w:val="24"/>
              </w:rPr>
              <w:instrText xml:space="preserve"> PAGEREF _Toc531159902 \h </w:instrText>
            </w:r>
            <w:r w:rsidR="00534921">
              <w:rPr>
                <w:rFonts w:ascii="宋体" w:eastAsia="宋体" w:hAnsi="宋体"/>
                <w:sz w:val="24"/>
              </w:rPr>
            </w:r>
            <w:r w:rsidR="00534921">
              <w:rPr>
                <w:rFonts w:ascii="宋体" w:eastAsia="宋体" w:hAnsi="宋体"/>
                <w:sz w:val="24"/>
              </w:rPr>
              <w:fldChar w:fldCharType="separate"/>
            </w:r>
            <w:r w:rsidR="00534921">
              <w:rPr>
                <w:rFonts w:ascii="宋体" w:eastAsia="宋体" w:hAnsi="宋体"/>
                <w:sz w:val="24"/>
              </w:rPr>
              <w:t>6</w:t>
            </w:r>
            <w:r w:rsidR="00534921">
              <w:rPr>
                <w:rFonts w:ascii="宋体" w:eastAsia="宋体" w:hAnsi="宋体"/>
                <w:sz w:val="24"/>
              </w:rPr>
              <w:fldChar w:fldCharType="end"/>
            </w:r>
          </w:hyperlink>
        </w:p>
        <w:p w:rsidR="001A7438" w:rsidRDefault="00534921">
          <w:pPr>
            <w:spacing w:line="360" w:lineRule="auto"/>
            <w:rPr>
              <w:rFonts w:ascii="宋体" w:eastAsia="宋体" w:hAnsi="宋体"/>
              <w:sz w:val="24"/>
            </w:rPr>
          </w:pPr>
          <w:r>
            <w:rPr>
              <w:rFonts w:ascii="宋体" w:eastAsia="宋体" w:hAnsi="宋体"/>
              <w:b/>
              <w:bCs/>
              <w:sz w:val="24"/>
              <w:lang w:val="zh-CN"/>
            </w:rPr>
            <w:fldChar w:fldCharType="end"/>
          </w:r>
        </w:p>
      </w:sdtContent>
    </w:sdt>
    <w:p w:rsidR="001A7438" w:rsidRDefault="001A7438">
      <w:pPr>
        <w:widowControl/>
        <w:jc w:val="left"/>
        <w:rPr>
          <w:rFonts w:ascii="黑体" w:eastAsia="黑体" w:hAnsi="黑体"/>
          <w:sz w:val="44"/>
          <w:szCs w:val="44"/>
        </w:rPr>
        <w:sectPr w:rsidR="001A7438">
          <w:pgSz w:w="11906" w:h="16838"/>
          <w:pgMar w:top="1440" w:right="1800" w:bottom="1440" w:left="1800" w:header="851" w:footer="992" w:gutter="0"/>
          <w:pgNumType w:fmt="upperRoman" w:start="1"/>
          <w:cols w:space="425"/>
          <w:docGrid w:type="lines" w:linePitch="312"/>
        </w:sectPr>
      </w:pPr>
    </w:p>
    <w:p w:rsidR="001A7438" w:rsidRDefault="00534921">
      <w:pPr>
        <w:pStyle w:val="1"/>
        <w:spacing w:before="240" w:after="240" w:line="360" w:lineRule="auto"/>
        <w:rPr>
          <w:rFonts w:ascii="Times New Roman" w:eastAsia="宋体" w:hAnsi="Times New Roman" w:cs="Times New Roman"/>
          <w:bCs w:val="0"/>
          <w:sz w:val="32"/>
          <w:szCs w:val="20"/>
          <w:lang w:val="zh-CN"/>
        </w:rPr>
      </w:pPr>
      <w:bookmarkStart w:id="10" w:name="_Toc531159884"/>
      <w:r>
        <w:rPr>
          <w:rFonts w:ascii="Times New Roman" w:eastAsia="宋体" w:hAnsi="Times New Roman" w:cs="Times New Roman" w:hint="eastAsia"/>
          <w:bCs w:val="0"/>
          <w:sz w:val="32"/>
          <w:szCs w:val="20"/>
          <w:lang w:val="zh-CN"/>
        </w:rPr>
        <w:lastRenderedPageBreak/>
        <w:t>1</w:t>
      </w:r>
      <w:r>
        <w:rPr>
          <w:rFonts w:ascii="Times New Roman" w:eastAsia="宋体" w:hAnsi="Times New Roman" w:cs="Times New Roman"/>
          <w:bCs w:val="0"/>
          <w:sz w:val="32"/>
          <w:szCs w:val="20"/>
          <w:lang w:val="zh-CN"/>
        </w:rPr>
        <w:t xml:space="preserve">. </w:t>
      </w:r>
      <w:r>
        <w:rPr>
          <w:rFonts w:ascii="Times New Roman" w:eastAsia="宋体" w:hAnsi="Times New Roman" w:cs="Times New Roman" w:hint="eastAsia"/>
          <w:bCs w:val="0"/>
          <w:sz w:val="32"/>
          <w:szCs w:val="20"/>
          <w:lang w:val="zh-CN"/>
        </w:rPr>
        <w:t>任务背景及任务来源</w:t>
      </w:r>
      <w:bookmarkEnd w:id="10"/>
    </w:p>
    <w:p w:rsidR="001A7438" w:rsidRDefault="00534921">
      <w:pPr>
        <w:topLinePunct/>
        <w:spacing w:line="500" w:lineRule="exact"/>
        <w:ind w:firstLineChars="200" w:firstLine="480"/>
        <w:rPr>
          <w:rFonts w:ascii="宋体" w:eastAsia="宋体" w:hAnsi="宋体"/>
          <w:sz w:val="24"/>
          <w:szCs w:val="24"/>
        </w:rPr>
      </w:pPr>
      <w:bookmarkStart w:id="11" w:name="_Hlk531090359"/>
      <w:r>
        <w:rPr>
          <w:rFonts w:ascii="宋体" w:eastAsia="宋体" w:hAnsi="宋体" w:hint="eastAsia"/>
          <w:sz w:val="24"/>
          <w:szCs w:val="24"/>
        </w:rPr>
        <w:t>2</w:t>
      </w:r>
      <w:r>
        <w:rPr>
          <w:rFonts w:ascii="宋体" w:eastAsia="宋体" w:hAnsi="宋体"/>
          <w:sz w:val="24"/>
          <w:szCs w:val="24"/>
        </w:rPr>
        <w:t>017</w:t>
      </w:r>
      <w:r>
        <w:rPr>
          <w:rFonts w:ascii="宋体" w:eastAsia="宋体" w:hAnsi="宋体" w:hint="eastAsia"/>
          <w:sz w:val="24"/>
          <w:szCs w:val="24"/>
        </w:rPr>
        <w:t>年12月，</w:t>
      </w:r>
      <w:proofErr w:type="gramStart"/>
      <w:r>
        <w:rPr>
          <w:rFonts w:ascii="宋体" w:eastAsia="宋体" w:hAnsi="宋体" w:hint="eastAsia"/>
          <w:sz w:val="24"/>
          <w:szCs w:val="24"/>
        </w:rPr>
        <w:t>全国碳排放权</w:t>
      </w:r>
      <w:proofErr w:type="gramEnd"/>
      <w:r>
        <w:rPr>
          <w:rFonts w:ascii="宋体" w:eastAsia="宋体" w:hAnsi="宋体" w:hint="eastAsia"/>
          <w:sz w:val="24"/>
          <w:szCs w:val="24"/>
        </w:rPr>
        <w:t>交易市场（以下简称碳市场）正式启动，发电行业率先纳入。</w:t>
      </w:r>
      <w:bookmarkEnd w:id="11"/>
      <w:r>
        <w:rPr>
          <w:rFonts w:ascii="宋体" w:eastAsia="宋体" w:hAnsi="宋体" w:hint="eastAsia"/>
          <w:sz w:val="24"/>
          <w:szCs w:val="24"/>
        </w:rPr>
        <w:t>为贯彻落实《全国碳排放权交易市场建设方案（发电行业）》</w:t>
      </w:r>
      <w:r>
        <w:rPr>
          <w:rFonts w:ascii="宋体" w:eastAsia="宋体" w:hAnsi="宋体"/>
          <w:sz w:val="24"/>
          <w:szCs w:val="24"/>
        </w:rPr>
        <w:t>（以下简称《市场建设方案》）</w:t>
      </w:r>
      <w:r>
        <w:rPr>
          <w:rFonts w:ascii="宋体" w:eastAsia="宋体" w:hAnsi="宋体" w:hint="eastAsia"/>
          <w:sz w:val="24"/>
          <w:szCs w:val="24"/>
        </w:rPr>
        <w:t>，推动全国</w:t>
      </w:r>
      <w:proofErr w:type="gramStart"/>
      <w:r>
        <w:rPr>
          <w:rFonts w:ascii="宋体" w:eastAsia="宋体" w:hAnsi="宋体" w:hint="eastAsia"/>
          <w:sz w:val="24"/>
          <w:szCs w:val="24"/>
        </w:rPr>
        <w:t>碳市场</w:t>
      </w:r>
      <w:proofErr w:type="gramEnd"/>
      <w:r>
        <w:rPr>
          <w:rFonts w:ascii="宋体" w:eastAsia="宋体" w:hAnsi="宋体" w:hint="eastAsia"/>
          <w:sz w:val="24"/>
          <w:szCs w:val="24"/>
        </w:rPr>
        <w:t>建设，指导发电企业</w:t>
      </w:r>
      <w:proofErr w:type="gramStart"/>
      <w:r>
        <w:rPr>
          <w:rFonts w:ascii="宋体" w:eastAsia="宋体" w:hAnsi="宋体" w:hint="eastAsia"/>
          <w:sz w:val="24"/>
          <w:szCs w:val="24"/>
        </w:rPr>
        <w:t>参与碳排放</w:t>
      </w:r>
      <w:proofErr w:type="gramEnd"/>
      <w:r>
        <w:rPr>
          <w:rFonts w:ascii="宋体" w:eastAsia="宋体" w:hAnsi="宋体" w:hint="eastAsia"/>
          <w:sz w:val="24"/>
          <w:szCs w:val="24"/>
        </w:rPr>
        <w:t>权交易工作，受生态环境部应对气候变化司委托，中国电力企业联合会（以下简称“中电联”）组织发电企业、</w:t>
      </w:r>
      <w:proofErr w:type="gramStart"/>
      <w:r>
        <w:rPr>
          <w:rFonts w:ascii="宋体" w:eastAsia="宋体" w:hAnsi="宋体" w:hint="eastAsia"/>
          <w:sz w:val="24"/>
          <w:szCs w:val="24"/>
        </w:rPr>
        <w:t>碳排放</w:t>
      </w:r>
      <w:proofErr w:type="gramEnd"/>
      <w:r>
        <w:rPr>
          <w:rFonts w:ascii="宋体" w:eastAsia="宋体" w:hAnsi="宋体" w:hint="eastAsia"/>
          <w:sz w:val="24"/>
          <w:szCs w:val="24"/>
        </w:rPr>
        <w:t>权交易机构、第三方核查机构编写了《发电企业碳排放权交易技术指南》（以下简称“技术指南”，或“本指南”），以帮助发电企业规范</w:t>
      </w:r>
      <w:proofErr w:type="gramStart"/>
      <w:r>
        <w:rPr>
          <w:rFonts w:ascii="宋体" w:eastAsia="宋体" w:hAnsi="宋体" w:hint="eastAsia"/>
          <w:sz w:val="24"/>
          <w:szCs w:val="24"/>
        </w:rPr>
        <w:t>碳交</w:t>
      </w:r>
      <w:proofErr w:type="gramEnd"/>
      <w:r>
        <w:rPr>
          <w:rFonts w:ascii="宋体" w:eastAsia="宋体" w:hAnsi="宋体" w:hint="eastAsia"/>
          <w:sz w:val="24"/>
          <w:szCs w:val="24"/>
        </w:rPr>
        <w:t>易管理工作，</w:t>
      </w:r>
      <w:proofErr w:type="gramStart"/>
      <w:r>
        <w:rPr>
          <w:rFonts w:ascii="宋体" w:eastAsia="宋体" w:hAnsi="宋体" w:hint="eastAsia"/>
          <w:sz w:val="24"/>
          <w:szCs w:val="24"/>
        </w:rPr>
        <w:t>建立碳排放</w:t>
      </w:r>
      <w:proofErr w:type="gramEnd"/>
      <w:r>
        <w:rPr>
          <w:rFonts w:ascii="宋体" w:eastAsia="宋体" w:hAnsi="宋体" w:hint="eastAsia"/>
          <w:sz w:val="24"/>
          <w:szCs w:val="24"/>
        </w:rPr>
        <w:t>权交易管理体系，监测、报告温室气体排放，配合第三方核查，开发自愿减排项目，实施碳交易，完成清缴履约。</w:t>
      </w:r>
    </w:p>
    <w:p w:rsidR="001A7438" w:rsidRDefault="00534921">
      <w:pPr>
        <w:topLinePunct/>
        <w:spacing w:line="500" w:lineRule="exact"/>
        <w:ind w:firstLineChars="200" w:firstLine="480"/>
        <w:rPr>
          <w:rFonts w:ascii="宋体" w:eastAsia="宋体" w:hAnsi="宋体" w:cs="宋体"/>
          <w:kern w:val="21"/>
          <w:sz w:val="24"/>
          <w:szCs w:val="24"/>
        </w:rPr>
      </w:pPr>
      <w:bookmarkStart w:id="12" w:name="_Hlk531090410"/>
      <w:proofErr w:type="gramStart"/>
      <w:r>
        <w:rPr>
          <w:rFonts w:ascii="宋体" w:eastAsia="宋体" w:hAnsi="宋体" w:hint="eastAsia"/>
          <w:sz w:val="24"/>
          <w:szCs w:val="24"/>
        </w:rPr>
        <w:t>碳排放权</w:t>
      </w:r>
      <w:proofErr w:type="gramEnd"/>
      <w:r>
        <w:rPr>
          <w:rFonts w:ascii="宋体" w:eastAsia="宋体" w:hAnsi="宋体" w:hint="eastAsia"/>
          <w:sz w:val="24"/>
          <w:szCs w:val="24"/>
        </w:rPr>
        <w:t>交易包括监测、报告、第三方核查、交易、履约等环节，相关要求分散在国家标准、</w:t>
      </w:r>
      <w:proofErr w:type="gramStart"/>
      <w:r>
        <w:rPr>
          <w:rFonts w:ascii="宋体" w:eastAsia="宋体" w:hAnsi="宋体" w:hint="eastAsia"/>
          <w:sz w:val="24"/>
          <w:szCs w:val="24"/>
        </w:rPr>
        <w:t>国家碳排放</w:t>
      </w:r>
      <w:proofErr w:type="gramEnd"/>
      <w:r>
        <w:rPr>
          <w:rFonts w:ascii="宋体" w:eastAsia="宋体" w:hAnsi="宋体" w:hint="eastAsia"/>
          <w:sz w:val="24"/>
          <w:szCs w:val="24"/>
        </w:rPr>
        <w:t>权交易主管部门通知、交易机构规则等不同文件中，技术指南综合了上述文件的内容，并结合发电企业碳排放核算和参与试点</w:t>
      </w:r>
      <w:proofErr w:type="gramStart"/>
      <w:r>
        <w:rPr>
          <w:rFonts w:ascii="宋体" w:eastAsia="宋体" w:hAnsi="宋体" w:hint="eastAsia"/>
          <w:sz w:val="24"/>
          <w:szCs w:val="24"/>
        </w:rPr>
        <w:t>碳市</w:t>
      </w:r>
      <w:proofErr w:type="gramEnd"/>
      <w:r>
        <w:rPr>
          <w:rFonts w:ascii="宋体" w:eastAsia="宋体" w:hAnsi="宋体" w:hint="eastAsia"/>
          <w:sz w:val="24"/>
          <w:szCs w:val="24"/>
        </w:rPr>
        <w:t>场的实践经验进行了完善，填补了国内发电</w:t>
      </w:r>
      <w:proofErr w:type="gramStart"/>
      <w:r>
        <w:rPr>
          <w:rFonts w:ascii="宋体" w:eastAsia="宋体" w:hAnsi="宋体" w:hint="eastAsia"/>
          <w:sz w:val="24"/>
          <w:szCs w:val="24"/>
        </w:rPr>
        <w:t>企业碳排放</w:t>
      </w:r>
      <w:proofErr w:type="gramEnd"/>
      <w:r>
        <w:rPr>
          <w:rFonts w:ascii="宋体" w:eastAsia="宋体" w:hAnsi="宋体" w:hint="eastAsia"/>
          <w:sz w:val="24"/>
          <w:szCs w:val="24"/>
        </w:rPr>
        <w:t>权交易系统性指导文件的空白。</w:t>
      </w:r>
      <w:bookmarkEnd w:id="12"/>
    </w:p>
    <w:p w:rsidR="001A7438" w:rsidRDefault="00534921">
      <w:pPr>
        <w:topLinePunct/>
        <w:spacing w:line="500" w:lineRule="exact"/>
        <w:ind w:firstLineChars="200" w:firstLine="480"/>
        <w:rPr>
          <w:rFonts w:ascii="宋体" w:eastAsia="宋体" w:hAnsi="宋体"/>
          <w:sz w:val="24"/>
          <w:szCs w:val="24"/>
        </w:rPr>
      </w:pPr>
      <w:r>
        <w:rPr>
          <w:rFonts w:ascii="宋体" w:eastAsia="宋体" w:hAnsi="宋体" w:hint="eastAsia"/>
          <w:sz w:val="24"/>
          <w:szCs w:val="24"/>
        </w:rPr>
        <w:t>2018年7月，国家能源局下发《关于下达2018年能源领域行业标准制（修）订计划及英文版翻译出版计划的通知》（国</w:t>
      </w:r>
      <w:proofErr w:type="gramStart"/>
      <w:r>
        <w:rPr>
          <w:rFonts w:ascii="宋体" w:eastAsia="宋体" w:hAnsi="宋体" w:hint="eastAsia"/>
          <w:sz w:val="24"/>
          <w:szCs w:val="24"/>
        </w:rPr>
        <w:t>能综通</w:t>
      </w:r>
      <w:proofErr w:type="gramEnd"/>
      <w:r>
        <w:rPr>
          <w:rFonts w:ascii="宋体" w:eastAsia="宋体" w:hAnsi="宋体" w:hint="eastAsia"/>
          <w:sz w:val="24"/>
          <w:szCs w:val="24"/>
        </w:rPr>
        <w:t>科技</w:t>
      </w:r>
      <w:r>
        <w:rPr>
          <w:rFonts w:ascii="楷体_GB2312" w:eastAsia="楷体_GB2312" w:hAnsi="宋体" w:cs="楷体_GB2312"/>
          <w:color w:val="000000"/>
          <w:sz w:val="24"/>
          <w:szCs w:val="24"/>
          <w:shd w:val="clear" w:color="auto" w:fill="FFFFFF"/>
        </w:rPr>
        <w:t>〔</w:t>
      </w:r>
      <w:r>
        <w:rPr>
          <w:rFonts w:ascii="宋体" w:eastAsia="宋体" w:hAnsi="宋体" w:hint="eastAsia"/>
          <w:sz w:val="24"/>
          <w:szCs w:val="24"/>
        </w:rPr>
        <w:t>2018</w:t>
      </w:r>
      <w:r>
        <w:rPr>
          <w:rFonts w:ascii="楷体_GB2312" w:eastAsia="楷体_GB2312" w:hAnsi="宋体" w:cs="楷体_GB2312"/>
          <w:color w:val="000000"/>
          <w:sz w:val="24"/>
          <w:szCs w:val="24"/>
          <w:shd w:val="clear" w:color="auto" w:fill="FFFFFF"/>
        </w:rPr>
        <w:t>〕</w:t>
      </w:r>
      <w:r>
        <w:rPr>
          <w:rFonts w:ascii="宋体" w:eastAsia="宋体" w:hAnsi="宋体" w:hint="eastAsia"/>
          <w:sz w:val="24"/>
          <w:szCs w:val="24"/>
        </w:rPr>
        <w:t>100号），《发电企业碳排放权交易技术指南》制定计划编号为“能源</w:t>
      </w:r>
      <w:r>
        <w:rPr>
          <w:rFonts w:ascii="宋体" w:eastAsia="宋体" w:hAnsi="宋体"/>
          <w:sz w:val="24"/>
          <w:szCs w:val="24"/>
        </w:rPr>
        <w:t>20180700</w:t>
      </w:r>
      <w:r>
        <w:rPr>
          <w:rFonts w:ascii="宋体" w:eastAsia="宋体" w:hAnsi="宋体" w:hint="eastAsia"/>
          <w:sz w:val="24"/>
          <w:szCs w:val="24"/>
        </w:rPr>
        <w:t>”，并由电力行业节能标准化技术委员会归口管理，中电联负责牵头编写。</w:t>
      </w:r>
    </w:p>
    <w:p w:rsidR="001A7438" w:rsidRDefault="00534921">
      <w:pPr>
        <w:pStyle w:val="1"/>
        <w:spacing w:before="120" w:after="120" w:line="360" w:lineRule="auto"/>
        <w:ind w:left="431" w:hanging="431"/>
        <w:rPr>
          <w:rFonts w:ascii="Times New Roman" w:eastAsia="宋体" w:hAnsi="Times New Roman" w:cs="Times New Roman"/>
          <w:bCs w:val="0"/>
          <w:sz w:val="32"/>
          <w:szCs w:val="20"/>
          <w:lang w:val="zh-CN"/>
        </w:rPr>
      </w:pPr>
      <w:bookmarkStart w:id="13" w:name="_Toc531159885"/>
      <w:r>
        <w:rPr>
          <w:rFonts w:ascii="Times New Roman" w:eastAsia="宋体" w:hAnsi="Times New Roman" w:cs="Times New Roman" w:hint="eastAsia"/>
          <w:bCs w:val="0"/>
          <w:sz w:val="32"/>
          <w:szCs w:val="20"/>
          <w:lang w:val="zh-CN"/>
        </w:rPr>
        <w:t>2</w:t>
      </w:r>
      <w:r>
        <w:rPr>
          <w:rFonts w:ascii="Times New Roman" w:eastAsia="宋体" w:hAnsi="Times New Roman" w:cs="Times New Roman"/>
          <w:bCs w:val="0"/>
          <w:sz w:val="32"/>
          <w:szCs w:val="20"/>
          <w:lang w:val="zh-CN"/>
        </w:rPr>
        <w:t xml:space="preserve">. </w:t>
      </w:r>
      <w:r>
        <w:rPr>
          <w:rFonts w:ascii="Times New Roman" w:eastAsia="宋体" w:hAnsi="Times New Roman" w:cs="Times New Roman" w:hint="eastAsia"/>
          <w:bCs w:val="0"/>
          <w:sz w:val="32"/>
          <w:szCs w:val="20"/>
          <w:lang w:val="zh-CN"/>
        </w:rPr>
        <w:t>编制过程说明</w:t>
      </w:r>
      <w:bookmarkEnd w:id="13"/>
    </w:p>
    <w:p w:rsidR="001A7438" w:rsidRDefault="00534921">
      <w:pPr>
        <w:pStyle w:val="2"/>
        <w:spacing w:before="120" w:after="120" w:line="240" w:lineRule="auto"/>
        <w:ind w:left="576" w:hanging="576"/>
        <w:rPr>
          <w:rFonts w:ascii="Times New Roman" w:hAnsi="Times New Roman"/>
          <w:bCs w:val="0"/>
          <w:sz w:val="30"/>
          <w:szCs w:val="20"/>
          <w:lang w:val="zh-CN"/>
        </w:rPr>
      </w:pPr>
      <w:bookmarkStart w:id="14" w:name="_Toc531159886"/>
      <w:r>
        <w:rPr>
          <w:rFonts w:ascii="Times New Roman" w:hAnsi="Times New Roman" w:hint="eastAsia"/>
          <w:bCs w:val="0"/>
          <w:sz w:val="30"/>
          <w:szCs w:val="20"/>
          <w:lang w:val="zh-CN"/>
        </w:rPr>
        <w:t>2.1</w:t>
      </w:r>
      <w:r>
        <w:rPr>
          <w:rFonts w:ascii="Times New Roman" w:hAnsi="Times New Roman" w:hint="eastAsia"/>
          <w:bCs w:val="0"/>
          <w:sz w:val="30"/>
          <w:szCs w:val="20"/>
          <w:lang w:val="zh-CN"/>
        </w:rPr>
        <w:t>参编单位</w:t>
      </w:r>
      <w:bookmarkEnd w:id="14"/>
    </w:p>
    <w:p w:rsidR="001A7438" w:rsidRDefault="00534921">
      <w:pPr>
        <w:topLinePunct/>
        <w:spacing w:line="500" w:lineRule="exact"/>
        <w:ind w:firstLineChars="200" w:firstLine="480"/>
        <w:rPr>
          <w:rFonts w:ascii="宋体" w:eastAsia="宋体" w:hAnsi="宋体"/>
          <w:sz w:val="24"/>
          <w:szCs w:val="24"/>
        </w:rPr>
      </w:pPr>
      <w:r>
        <w:rPr>
          <w:rFonts w:ascii="宋体" w:eastAsia="宋体" w:hAnsi="宋体" w:hint="eastAsia"/>
          <w:sz w:val="24"/>
          <w:szCs w:val="24"/>
        </w:rPr>
        <w:t>本指南由中国电力企业联合会负责起草，参编单位有：</w:t>
      </w:r>
      <w:hyperlink r:id="rId11" w:tgtFrame="_blank" w:history="1">
        <w:r>
          <w:rPr>
            <w:rFonts w:ascii="宋体" w:eastAsia="宋体" w:hAnsi="宋体"/>
            <w:sz w:val="24"/>
            <w:szCs w:val="24"/>
          </w:rPr>
          <w:t>龙源(北京)</w:t>
        </w:r>
        <w:proofErr w:type="gramStart"/>
        <w:r>
          <w:rPr>
            <w:rFonts w:ascii="宋体" w:eastAsia="宋体" w:hAnsi="宋体"/>
            <w:sz w:val="24"/>
            <w:szCs w:val="24"/>
          </w:rPr>
          <w:t>碳资产</w:t>
        </w:r>
        <w:proofErr w:type="gramEnd"/>
        <w:r>
          <w:rPr>
            <w:rFonts w:ascii="宋体" w:eastAsia="宋体" w:hAnsi="宋体"/>
            <w:sz w:val="24"/>
            <w:szCs w:val="24"/>
          </w:rPr>
          <w:t>管理技术有限公司</w:t>
        </w:r>
      </w:hyperlink>
      <w:r>
        <w:rPr>
          <w:rFonts w:ascii="宋体" w:eastAsia="宋体" w:hAnsi="宋体" w:hint="eastAsia"/>
          <w:sz w:val="24"/>
          <w:szCs w:val="24"/>
        </w:rPr>
        <w:t>、大</w:t>
      </w:r>
      <w:proofErr w:type="gramStart"/>
      <w:r>
        <w:rPr>
          <w:rFonts w:ascii="宋体" w:eastAsia="宋体" w:hAnsi="宋体" w:hint="eastAsia"/>
          <w:sz w:val="24"/>
          <w:szCs w:val="24"/>
        </w:rPr>
        <w:t>唐碳资</w:t>
      </w:r>
      <w:proofErr w:type="gramEnd"/>
      <w:r>
        <w:rPr>
          <w:rFonts w:ascii="宋体" w:eastAsia="宋体" w:hAnsi="宋体" w:hint="eastAsia"/>
          <w:sz w:val="24"/>
          <w:szCs w:val="24"/>
        </w:rPr>
        <w:t>产有限公司、</w:t>
      </w:r>
      <w:proofErr w:type="gramStart"/>
      <w:r>
        <w:rPr>
          <w:rFonts w:ascii="宋体" w:eastAsia="宋体" w:hAnsi="宋体" w:hint="eastAsia"/>
          <w:sz w:val="24"/>
          <w:szCs w:val="24"/>
        </w:rPr>
        <w:t>湖北碳排放</w:t>
      </w:r>
      <w:proofErr w:type="gramEnd"/>
      <w:r>
        <w:rPr>
          <w:rFonts w:ascii="宋体" w:eastAsia="宋体" w:hAnsi="宋体" w:hint="eastAsia"/>
          <w:sz w:val="24"/>
          <w:szCs w:val="24"/>
        </w:rPr>
        <w:t>权交易中心有限公司、</w:t>
      </w:r>
      <w:hyperlink r:id="rId12" w:tgtFrame="_blank" w:history="1">
        <w:r>
          <w:rPr>
            <w:rFonts w:ascii="宋体" w:eastAsia="宋体" w:hAnsi="宋体"/>
            <w:sz w:val="24"/>
            <w:szCs w:val="24"/>
          </w:rPr>
          <w:t>杭州超腾能源技术股份有限公司</w:t>
        </w:r>
      </w:hyperlink>
      <w:r>
        <w:rPr>
          <w:rFonts w:ascii="宋体" w:eastAsia="宋体" w:hAnsi="宋体" w:hint="eastAsia"/>
          <w:sz w:val="24"/>
          <w:szCs w:val="24"/>
        </w:rPr>
        <w:t>、美国环保协会</w:t>
      </w:r>
      <w:r w:rsidR="003F595F">
        <w:rPr>
          <w:rFonts w:ascii="宋体" w:eastAsia="宋体" w:hAnsi="宋体" w:hint="eastAsia"/>
          <w:sz w:val="24"/>
          <w:szCs w:val="24"/>
        </w:rPr>
        <w:t>北京代表处</w:t>
      </w:r>
      <w:r>
        <w:rPr>
          <w:rFonts w:ascii="宋体" w:eastAsia="宋体" w:hAnsi="宋体" w:hint="eastAsia"/>
          <w:sz w:val="24"/>
          <w:szCs w:val="24"/>
        </w:rPr>
        <w:t>。</w:t>
      </w:r>
    </w:p>
    <w:p w:rsidR="001A7438" w:rsidRDefault="00534921">
      <w:pPr>
        <w:pStyle w:val="2"/>
        <w:spacing w:before="120" w:after="120" w:line="240" w:lineRule="auto"/>
        <w:ind w:left="576" w:hanging="576"/>
        <w:rPr>
          <w:rFonts w:ascii="Times New Roman" w:hAnsi="Times New Roman"/>
          <w:bCs w:val="0"/>
          <w:sz w:val="30"/>
          <w:szCs w:val="20"/>
          <w:lang w:val="zh-CN"/>
        </w:rPr>
      </w:pPr>
      <w:bookmarkStart w:id="15" w:name="_Toc531159887"/>
      <w:r>
        <w:rPr>
          <w:rFonts w:ascii="Times New Roman" w:hAnsi="Times New Roman" w:hint="eastAsia"/>
          <w:bCs w:val="0"/>
          <w:sz w:val="30"/>
          <w:szCs w:val="20"/>
          <w:lang w:val="zh-CN"/>
        </w:rPr>
        <w:lastRenderedPageBreak/>
        <w:t>2.2</w:t>
      </w:r>
      <w:r>
        <w:rPr>
          <w:rFonts w:ascii="Times New Roman" w:hAnsi="Times New Roman" w:hint="eastAsia"/>
          <w:bCs w:val="0"/>
          <w:sz w:val="30"/>
          <w:szCs w:val="20"/>
          <w:lang w:val="zh-CN"/>
        </w:rPr>
        <w:t>主要起草人</w:t>
      </w:r>
      <w:bookmarkEnd w:id="15"/>
    </w:p>
    <w:p w:rsidR="001A7438" w:rsidRDefault="00534921">
      <w:pPr>
        <w:topLinePunct/>
        <w:spacing w:line="360" w:lineRule="auto"/>
        <w:ind w:firstLineChars="200" w:firstLine="480"/>
        <w:rPr>
          <w:rFonts w:ascii="宋体" w:eastAsia="宋体" w:hAnsi="宋体"/>
          <w:sz w:val="24"/>
          <w:szCs w:val="24"/>
        </w:rPr>
      </w:pPr>
      <w:r>
        <w:rPr>
          <w:rFonts w:ascii="宋体" w:eastAsia="宋体" w:hAnsi="宋体" w:hint="eastAsia"/>
          <w:sz w:val="24"/>
          <w:szCs w:val="24"/>
        </w:rPr>
        <w:t>起草编制组成员：</w:t>
      </w:r>
    </w:p>
    <w:p w:rsidR="001A7438" w:rsidRDefault="00534921">
      <w:pPr>
        <w:pStyle w:val="2"/>
        <w:spacing w:before="120" w:after="120" w:line="240" w:lineRule="auto"/>
        <w:ind w:left="576" w:hanging="576"/>
        <w:rPr>
          <w:rFonts w:ascii="Times New Roman" w:hAnsi="Times New Roman"/>
          <w:bCs w:val="0"/>
          <w:sz w:val="30"/>
          <w:szCs w:val="20"/>
          <w:lang w:val="zh-CN"/>
        </w:rPr>
      </w:pPr>
      <w:bookmarkStart w:id="16" w:name="_Toc531159888"/>
      <w:r>
        <w:rPr>
          <w:rFonts w:ascii="Times New Roman" w:hAnsi="Times New Roman" w:hint="eastAsia"/>
          <w:bCs w:val="0"/>
          <w:sz w:val="30"/>
          <w:szCs w:val="20"/>
          <w:lang w:val="zh-CN"/>
        </w:rPr>
        <w:t>2.3</w:t>
      </w:r>
      <w:r>
        <w:rPr>
          <w:rFonts w:ascii="Times New Roman" w:hAnsi="Times New Roman" w:hint="eastAsia"/>
          <w:bCs w:val="0"/>
          <w:sz w:val="30"/>
          <w:szCs w:val="20"/>
          <w:lang w:val="zh-CN"/>
        </w:rPr>
        <w:t>起草人工作及主要编制过程</w:t>
      </w:r>
      <w:bookmarkEnd w:id="16"/>
    </w:p>
    <w:p w:rsidR="001A7438" w:rsidRDefault="00534921">
      <w:pPr>
        <w:autoSpaceDE w:val="0"/>
        <w:autoSpaceDN w:val="0"/>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2018年6月，中电联召开技术指南讨论会，成立了编制组，确定了指导思想、编制原则及保障措施。</w:t>
      </w:r>
    </w:p>
    <w:p w:rsidR="001A7438" w:rsidRDefault="00534921">
      <w:pPr>
        <w:autoSpaceDE w:val="0"/>
        <w:autoSpaceDN w:val="0"/>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2018年7月，中电联召开技术指南启动会，讨论了编制大纲、编写内容、明确了分工，制定了工作计划，启动编写工作。</w:t>
      </w:r>
    </w:p>
    <w:p w:rsidR="001A7438" w:rsidRDefault="00534921">
      <w:pPr>
        <w:autoSpaceDE w:val="0"/>
        <w:autoSpaceDN w:val="0"/>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2018年7月-10月，编制组开展初稿编制，期间召开了2次会议，对技术指南的框架及内容进行了深入讨论，对初稿进行反复推敲、修改，形成讨论稿。</w:t>
      </w:r>
    </w:p>
    <w:p w:rsidR="001A7438" w:rsidRDefault="00534921">
      <w:pPr>
        <w:autoSpaceDE w:val="0"/>
        <w:autoSpaceDN w:val="0"/>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2018年11月，中电联组织对讨论稿逐项评审，修改完善形成征求意见稿，并报送至电力行业节能标准化技术委员会。</w:t>
      </w:r>
    </w:p>
    <w:p w:rsidR="001A7438" w:rsidRDefault="00534921">
      <w:pPr>
        <w:autoSpaceDE w:val="0"/>
        <w:autoSpaceDN w:val="0"/>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201X</w:t>
      </w:r>
      <w:r>
        <w:rPr>
          <w:rFonts w:ascii="宋体" w:eastAsia="宋体" w:hAnsi="宋体" w:hint="eastAsia"/>
          <w:sz w:val="24"/>
          <w:szCs w:val="24"/>
        </w:rPr>
        <w:t>年</w:t>
      </w:r>
      <w:r>
        <w:rPr>
          <w:rFonts w:ascii="宋体" w:eastAsia="宋体" w:hAnsi="宋体"/>
          <w:sz w:val="24"/>
          <w:szCs w:val="24"/>
        </w:rPr>
        <w:t>12</w:t>
      </w:r>
      <w:r>
        <w:rPr>
          <w:rFonts w:ascii="宋体" w:eastAsia="宋体" w:hAnsi="宋体" w:hint="eastAsia"/>
          <w:sz w:val="24"/>
          <w:szCs w:val="24"/>
        </w:rPr>
        <w:t>月，电力行业节能标准化技术委员会挂网征求用户、标委会委员和相关方意见，共征集到修改意见</w:t>
      </w:r>
      <w:r>
        <w:rPr>
          <w:rFonts w:ascii="宋体" w:eastAsia="宋体" w:hAnsi="宋体"/>
          <w:sz w:val="24"/>
          <w:szCs w:val="24"/>
        </w:rPr>
        <w:t>X</w:t>
      </w:r>
      <w:r>
        <w:rPr>
          <w:rFonts w:ascii="宋体" w:eastAsia="宋体" w:hAnsi="宋体" w:hint="eastAsia"/>
          <w:sz w:val="24"/>
          <w:szCs w:val="24"/>
        </w:rPr>
        <w:t>项。结合反馈意见修改征求意见稿并形成送审稿。</w:t>
      </w:r>
    </w:p>
    <w:p w:rsidR="001A7438" w:rsidRDefault="00534921">
      <w:pPr>
        <w:autoSpaceDE w:val="0"/>
        <w:autoSpaceDN w:val="0"/>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201X</w:t>
      </w:r>
      <w:r>
        <w:rPr>
          <w:rFonts w:ascii="宋体" w:eastAsia="宋体" w:hAnsi="宋体" w:hint="eastAsia"/>
          <w:sz w:val="24"/>
          <w:szCs w:val="24"/>
        </w:rPr>
        <w:t>年</w:t>
      </w:r>
      <w:r>
        <w:rPr>
          <w:rFonts w:ascii="宋体" w:eastAsia="宋体" w:hAnsi="宋体"/>
          <w:sz w:val="24"/>
          <w:szCs w:val="24"/>
        </w:rPr>
        <w:t>X</w:t>
      </w:r>
      <w:r>
        <w:rPr>
          <w:rFonts w:ascii="宋体" w:eastAsia="宋体" w:hAnsi="宋体" w:hint="eastAsia"/>
          <w:sz w:val="24"/>
          <w:szCs w:val="24"/>
        </w:rPr>
        <w:t>月</w:t>
      </w:r>
      <w:r>
        <w:rPr>
          <w:rFonts w:ascii="宋体" w:eastAsia="宋体" w:hAnsi="宋体"/>
          <w:sz w:val="24"/>
          <w:szCs w:val="24"/>
        </w:rPr>
        <w:t>X</w:t>
      </w:r>
      <w:r>
        <w:rPr>
          <w:rFonts w:ascii="宋体" w:eastAsia="宋体" w:hAnsi="宋体" w:hint="eastAsia"/>
          <w:sz w:val="24"/>
          <w:szCs w:val="24"/>
        </w:rPr>
        <w:t>日，XXX完成了《发电企业碳排放权交易技术指南》（送审稿）的会议审查。会后，根据专家意见进一步修改，形成了《发电企业碳排放权交易技术指南》（报批稿）。</w:t>
      </w:r>
    </w:p>
    <w:p w:rsidR="001A7438" w:rsidRDefault="00534921">
      <w:pPr>
        <w:pStyle w:val="1"/>
        <w:spacing w:before="120" w:after="120" w:line="360" w:lineRule="auto"/>
        <w:ind w:left="431" w:hanging="431"/>
        <w:rPr>
          <w:rFonts w:ascii="Times New Roman" w:eastAsia="宋体" w:hAnsi="Times New Roman" w:cs="Times New Roman"/>
          <w:bCs w:val="0"/>
          <w:sz w:val="32"/>
          <w:szCs w:val="20"/>
          <w:lang w:val="zh-CN"/>
        </w:rPr>
      </w:pPr>
      <w:bookmarkStart w:id="17" w:name="_Toc531159889"/>
      <w:r>
        <w:rPr>
          <w:rFonts w:ascii="Times New Roman" w:eastAsia="宋体" w:hAnsi="Times New Roman" w:cs="Times New Roman" w:hint="eastAsia"/>
          <w:bCs w:val="0"/>
          <w:sz w:val="32"/>
          <w:szCs w:val="20"/>
          <w:lang w:val="zh-CN"/>
        </w:rPr>
        <w:t>3</w:t>
      </w:r>
      <w:r>
        <w:rPr>
          <w:rFonts w:ascii="Times New Roman" w:eastAsia="宋体" w:hAnsi="Times New Roman" w:cs="Times New Roman"/>
          <w:bCs w:val="0"/>
          <w:sz w:val="32"/>
          <w:szCs w:val="20"/>
          <w:lang w:val="zh-CN"/>
        </w:rPr>
        <w:t xml:space="preserve">. </w:t>
      </w:r>
      <w:r>
        <w:rPr>
          <w:rFonts w:ascii="Times New Roman" w:eastAsia="宋体" w:hAnsi="Times New Roman" w:cs="Times New Roman" w:hint="eastAsia"/>
          <w:bCs w:val="0"/>
          <w:sz w:val="32"/>
          <w:szCs w:val="20"/>
          <w:lang w:val="zh-CN"/>
        </w:rPr>
        <w:t>编写原则和主要内容</w:t>
      </w:r>
      <w:bookmarkEnd w:id="17"/>
    </w:p>
    <w:p w:rsidR="001A7438" w:rsidRDefault="00534921">
      <w:pPr>
        <w:pStyle w:val="2"/>
        <w:spacing w:before="120" w:after="120" w:line="240" w:lineRule="auto"/>
        <w:ind w:left="576" w:hanging="576"/>
        <w:rPr>
          <w:rFonts w:ascii="Times New Roman" w:hAnsi="Times New Roman"/>
          <w:bCs w:val="0"/>
          <w:sz w:val="30"/>
          <w:szCs w:val="20"/>
          <w:lang w:val="zh-CN"/>
        </w:rPr>
      </w:pPr>
      <w:bookmarkStart w:id="18" w:name="_Toc531159890"/>
      <w:r>
        <w:rPr>
          <w:rFonts w:ascii="Times New Roman" w:hAnsi="Times New Roman" w:hint="eastAsia"/>
          <w:bCs w:val="0"/>
          <w:sz w:val="30"/>
          <w:szCs w:val="20"/>
          <w:lang w:val="zh-CN"/>
        </w:rPr>
        <w:t>3.1</w:t>
      </w:r>
      <w:r>
        <w:rPr>
          <w:rFonts w:ascii="Times New Roman" w:hAnsi="Times New Roman" w:hint="eastAsia"/>
          <w:bCs w:val="0"/>
          <w:sz w:val="30"/>
          <w:szCs w:val="20"/>
          <w:lang w:val="zh-CN"/>
        </w:rPr>
        <w:t>标准编制原则</w:t>
      </w:r>
      <w:bookmarkEnd w:id="18"/>
    </w:p>
    <w:p w:rsidR="001A7438" w:rsidRDefault="00534921">
      <w:pPr>
        <w:autoSpaceDE w:val="0"/>
        <w:autoSpaceDN w:val="0"/>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 xml:space="preserve">1) </w:t>
      </w:r>
      <w:r>
        <w:rPr>
          <w:rFonts w:ascii="宋体" w:eastAsia="宋体" w:hAnsi="宋体" w:hint="eastAsia"/>
          <w:sz w:val="24"/>
          <w:szCs w:val="24"/>
        </w:rPr>
        <w:t>按照</w:t>
      </w:r>
      <w:r>
        <w:rPr>
          <w:rFonts w:ascii="宋体" w:eastAsia="宋体" w:hAnsi="宋体"/>
          <w:sz w:val="24"/>
          <w:szCs w:val="24"/>
        </w:rPr>
        <w:t>GB/T 1.1-2000</w:t>
      </w:r>
      <w:r>
        <w:rPr>
          <w:rFonts w:ascii="宋体" w:eastAsia="宋体" w:hAnsi="宋体" w:hint="eastAsia"/>
          <w:sz w:val="24"/>
          <w:szCs w:val="24"/>
        </w:rPr>
        <w:t>《标准化工作导则</w:t>
      </w:r>
      <w:r>
        <w:rPr>
          <w:rFonts w:ascii="宋体" w:eastAsia="宋体" w:hAnsi="宋体"/>
          <w:sz w:val="24"/>
          <w:szCs w:val="24"/>
        </w:rPr>
        <w:t xml:space="preserve">  第1部分：标准的结构和编写</w:t>
      </w:r>
      <w:r>
        <w:rPr>
          <w:rFonts w:ascii="宋体" w:eastAsia="宋体" w:hAnsi="宋体" w:hint="eastAsia"/>
          <w:sz w:val="24"/>
          <w:szCs w:val="24"/>
        </w:rPr>
        <w:t>》的要求和规定，确定标准的组成要素。</w:t>
      </w:r>
    </w:p>
    <w:p w:rsidR="001A7438" w:rsidRDefault="00534921">
      <w:pPr>
        <w:autoSpaceDE w:val="0"/>
        <w:autoSpaceDN w:val="0"/>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标准编写力求完整、规范、清晰、简洁，具备较强的可操作性。</w:t>
      </w:r>
    </w:p>
    <w:p w:rsidR="001A7438" w:rsidRDefault="00534921">
      <w:pPr>
        <w:pStyle w:val="2"/>
        <w:spacing w:before="0" w:after="120" w:line="240" w:lineRule="auto"/>
        <w:rPr>
          <w:rFonts w:ascii="Times New Roman" w:hAnsi="Times New Roman"/>
          <w:bCs w:val="0"/>
          <w:sz w:val="30"/>
          <w:szCs w:val="20"/>
          <w:lang w:val="zh-CN"/>
        </w:rPr>
      </w:pPr>
      <w:bookmarkStart w:id="19" w:name="_Toc531159891"/>
      <w:r>
        <w:rPr>
          <w:rFonts w:ascii="Times New Roman" w:hAnsi="Times New Roman" w:hint="eastAsia"/>
          <w:bCs w:val="0"/>
          <w:sz w:val="30"/>
          <w:szCs w:val="20"/>
          <w:lang w:val="zh-CN"/>
        </w:rPr>
        <w:t>3.2</w:t>
      </w:r>
      <w:r>
        <w:rPr>
          <w:rFonts w:ascii="Times New Roman" w:hAnsi="Times New Roman" w:hint="eastAsia"/>
          <w:bCs w:val="0"/>
          <w:sz w:val="30"/>
          <w:szCs w:val="20"/>
          <w:lang w:val="zh-CN"/>
        </w:rPr>
        <w:t>主要内容</w:t>
      </w:r>
      <w:bookmarkEnd w:id="19"/>
    </w:p>
    <w:p w:rsidR="001A7438" w:rsidRDefault="00534921">
      <w:pPr>
        <w:autoSpaceDE w:val="0"/>
        <w:autoSpaceDN w:val="0"/>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 xml:space="preserve">本指南由前言、正文和附录组成，框架结构见图1： </w:t>
      </w:r>
    </w:p>
    <w:p w:rsidR="001A7438" w:rsidRDefault="00534921">
      <w:pPr>
        <w:jc w:val="left"/>
      </w:pPr>
      <w:r>
        <w:object w:dxaOrig="8300" w:dyaOrig="8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421.5pt" o:ole="">
            <v:imagedata r:id="rId13" o:title=""/>
          </v:shape>
          <o:OLEObject Type="Embed" ProgID="Visio.Drawing.11" ShapeID="_x0000_i1025" DrawAspect="Content" ObjectID="_1607153131" r:id="rId14"/>
        </w:object>
      </w:r>
      <w:r>
        <w:t xml:space="preserve"> </w:t>
      </w:r>
    </w:p>
    <w:p w:rsidR="001A7438" w:rsidRDefault="00534921">
      <w:pPr>
        <w:spacing w:beforeLines="50" w:before="156" w:afterLines="50" w:after="156"/>
        <w:jc w:val="center"/>
        <w:rPr>
          <w:rFonts w:ascii="Times New Roman"/>
          <w:b/>
        </w:rPr>
      </w:pPr>
      <w:r>
        <w:rPr>
          <w:rFonts w:ascii="Times New Roman" w:hint="eastAsia"/>
          <w:b/>
        </w:rPr>
        <w:t>图</w:t>
      </w:r>
      <w:r>
        <w:rPr>
          <w:rFonts w:ascii="Times New Roman" w:hAnsi="Times New Roman"/>
          <w:b/>
        </w:rPr>
        <w:t xml:space="preserve">1  </w:t>
      </w:r>
      <w:r>
        <w:rPr>
          <w:rFonts w:ascii="Times New Roman" w:hAnsi="Times New Roman" w:hint="eastAsia"/>
          <w:b/>
        </w:rPr>
        <w:t>《</w:t>
      </w:r>
      <w:r>
        <w:rPr>
          <w:rFonts w:ascii="Times New Roman" w:hint="eastAsia"/>
          <w:b/>
        </w:rPr>
        <w:t>发电企业碳排放权交易技术指南》框架</w:t>
      </w:r>
    </w:p>
    <w:p w:rsidR="001A7438" w:rsidRDefault="00534921">
      <w:pPr>
        <w:autoSpaceDE w:val="0"/>
        <w:autoSpaceDN w:val="0"/>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正文部分包括六个章节：</w:t>
      </w:r>
    </w:p>
    <w:p w:rsidR="001A7438" w:rsidRDefault="00534921">
      <w:pPr>
        <w:autoSpaceDE w:val="0"/>
        <w:autoSpaceDN w:val="0"/>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第1章确定了标准适用范围。</w:t>
      </w:r>
    </w:p>
    <w:p w:rsidR="001A7438" w:rsidRDefault="00534921">
      <w:pPr>
        <w:autoSpaceDE w:val="0"/>
        <w:autoSpaceDN w:val="0"/>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第2章列出了规范性引用文件及本指南所涉及的国家标准和行业标准。</w:t>
      </w:r>
    </w:p>
    <w:p w:rsidR="001A7438" w:rsidRDefault="00534921">
      <w:pPr>
        <w:autoSpaceDE w:val="0"/>
        <w:autoSpaceDN w:val="0"/>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第3章对本指南中用到的一般性术语进行了定义，在规范性引用文件中已界定的不再重复。</w:t>
      </w:r>
    </w:p>
    <w:p w:rsidR="001A7438" w:rsidRDefault="00534921">
      <w:pPr>
        <w:autoSpaceDE w:val="0"/>
        <w:autoSpaceDN w:val="0"/>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第4章对发电</w:t>
      </w:r>
      <w:proofErr w:type="gramStart"/>
      <w:r>
        <w:rPr>
          <w:rFonts w:ascii="宋体" w:eastAsia="宋体" w:hAnsi="宋体" w:hint="eastAsia"/>
          <w:sz w:val="24"/>
          <w:szCs w:val="24"/>
        </w:rPr>
        <w:t>企业碳排放权</w:t>
      </w:r>
      <w:proofErr w:type="gramEnd"/>
      <w:r>
        <w:rPr>
          <w:rFonts w:ascii="宋体" w:eastAsia="宋体" w:hAnsi="宋体" w:hint="eastAsia"/>
          <w:sz w:val="24"/>
          <w:szCs w:val="24"/>
        </w:rPr>
        <w:t>交易原则进行了说明。</w:t>
      </w:r>
    </w:p>
    <w:p w:rsidR="001A7438" w:rsidRDefault="00534921">
      <w:pPr>
        <w:autoSpaceDE w:val="0"/>
        <w:autoSpaceDN w:val="0"/>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第5章给出了发电企业可以采用</w:t>
      </w:r>
      <w:proofErr w:type="gramStart"/>
      <w:r>
        <w:rPr>
          <w:rFonts w:ascii="宋体" w:eastAsia="宋体" w:hAnsi="宋体" w:hint="eastAsia"/>
          <w:sz w:val="24"/>
          <w:szCs w:val="24"/>
        </w:rPr>
        <w:t>的碳排放权</w:t>
      </w:r>
      <w:proofErr w:type="gramEnd"/>
      <w:r>
        <w:rPr>
          <w:rFonts w:ascii="宋体" w:eastAsia="宋体" w:hAnsi="宋体" w:hint="eastAsia"/>
          <w:sz w:val="24"/>
          <w:szCs w:val="24"/>
        </w:rPr>
        <w:t>交易管理模式，及相应的组织机构和工作职责。</w:t>
      </w:r>
    </w:p>
    <w:p w:rsidR="001A7438" w:rsidRDefault="00534921">
      <w:pPr>
        <w:autoSpaceDE w:val="0"/>
        <w:autoSpaceDN w:val="0"/>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第6章给出了</w:t>
      </w:r>
      <w:proofErr w:type="gramStart"/>
      <w:r>
        <w:rPr>
          <w:rFonts w:ascii="宋体" w:eastAsia="宋体" w:hAnsi="宋体" w:hint="eastAsia"/>
          <w:sz w:val="24"/>
          <w:szCs w:val="24"/>
        </w:rPr>
        <w:t>碳交易</w:t>
      </w:r>
      <w:proofErr w:type="gramEnd"/>
      <w:r>
        <w:rPr>
          <w:rFonts w:ascii="宋体" w:eastAsia="宋体" w:hAnsi="宋体" w:hint="eastAsia"/>
          <w:sz w:val="24"/>
          <w:szCs w:val="24"/>
        </w:rPr>
        <w:t>相关工作的实施过程，分为“法律法规要求”、“监测、</w:t>
      </w:r>
      <w:r>
        <w:rPr>
          <w:rFonts w:ascii="宋体" w:eastAsia="宋体" w:hAnsi="宋体" w:hint="eastAsia"/>
          <w:sz w:val="24"/>
          <w:szCs w:val="24"/>
        </w:rPr>
        <w:lastRenderedPageBreak/>
        <w:t>报告与核查”、“配额管理”、“自愿减排项目管理”、“交易实施”等10个小节，是本指南的核心内容</w:t>
      </w:r>
      <w:r>
        <w:rPr>
          <w:rFonts w:ascii="宋体" w:hAnsi="宋体" w:hint="eastAsia"/>
          <w:sz w:val="24"/>
        </w:rPr>
        <w:t>。</w:t>
      </w:r>
    </w:p>
    <w:p w:rsidR="001A7438" w:rsidRDefault="00534921">
      <w:pPr>
        <w:autoSpaceDE w:val="0"/>
        <w:autoSpaceDN w:val="0"/>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附录部分给出</w:t>
      </w:r>
      <w:proofErr w:type="gramStart"/>
      <w:r>
        <w:rPr>
          <w:rFonts w:ascii="宋体" w:eastAsia="宋体" w:hAnsi="宋体" w:hint="eastAsia"/>
          <w:sz w:val="24"/>
          <w:szCs w:val="24"/>
        </w:rPr>
        <w:t>了碳排放权</w:t>
      </w:r>
      <w:proofErr w:type="gramEnd"/>
      <w:r>
        <w:rPr>
          <w:rFonts w:ascii="宋体" w:eastAsia="宋体" w:hAnsi="宋体" w:hint="eastAsia"/>
          <w:sz w:val="24"/>
          <w:szCs w:val="24"/>
        </w:rPr>
        <w:t>交易工作流程、在线监测法二氧化碳排放量计算方法，以及9个</w:t>
      </w:r>
      <w:proofErr w:type="gramStart"/>
      <w:r>
        <w:rPr>
          <w:rFonts w:ascii="宋体" w:eastAsia="宋体" w:hAnsi="宋体" w:hint="eastAsia"/>
          <w:sz w:val="24"/>
          <w:szCs w:val="24"/>
        </w:rPr>
        <w:t>碳交</w:t>
      </w:r>
      <w:proofErr w:type="gramEnd"/>
      <w:r>
        <w:rPr>
          <w:rFonts w:ascii="宋体" w:eastAsia="宋体" w:hAnsi="宋体" w:hint="eastAsia"/>
          <w:sz w:val="24"/>
          <w:szCs w:val="24"/>
        </w:rPr>
        <w:t>易工作中常用的文件模板或示例。</w:t>
      </w:r>
    </w:p>
    <w:p w:rsidR="001A7438" w:rsidRDefault="00534921">
      <w:pPr>
        <w:pStyle w:val="1"/>
        <w:spacing w:before="120" w:after="120" w:line="240" w:lineRule="atLeast"/>
        <w:rPr>
          <w:rFonts w:ascii="Times New Roman" w:eastAsia="宋体" w:hAnsi="Times New Roman" w:cs="Times New Roman"/>
          <w:bCs w:val="0"/>
          <w:sz w:val="32"/>
          <w:szCs w:val="20"/>
          <w:lang w:val="zh-CN"/>
        </w:rPr>
      </w:pPr>
      <w:bookmarkStart w:id="20" w:name="_Toc531159892"/>
      <w:r>
        <w:rPr>
          <w:rFonts w:ascii="Times New Roman" w:eastAsia="宋体" w:hAnsi="Times New Roman" w:cs="Times New Roman" w:hint="eastAsia"/>
          <w:bCs w:val="0"/>
          <w:sz w:val="32"/>
          <w:szCs w:val="20"/>
          <w:lang w:val="zh-CN"/>
        </w:rPr>
        <w:t>4.</w:t>
      </w:r>
      <w:r>
        <w:rPr>
          <w:rFonts w:ascii="Times New Roman" w:eastAsia="宋体" w:hAnsi="Times New Roman" w:cs="Times New Roman"/>
          <w:bCs w:val="0"/>
          <w:sz w:val="32"/>
          <w:szCs w:val="20"/>
          <w:lang w:val="zh-CN"/>
        </w:rPr>
        <w:t xml:space="preserve"> </w:t>
      </w:r>
      <w:r>
        <w:rPr>
          <w:rFonts w:ascii="Times New Roman" w:eastAsia="宋体" w:hAnsi="Times New Roman" w:cs="Times New Roman" w:hint="eastAsia"/>
          <w:bCs w:val="0"/>
          <w:sz w:val="32"/>
          <w:szCs w:val="20"/>
          <w:lang w:val="zh-CN"/>
        </w:rPr>
        <w:t>预期达到的效果</w:t>
      </w:r>
      <w:bookmarkEnd w:id="20"/>
    </w:p>
    <w:p w:rsidR="001A7438" w:rsidRDefault="00534921">
      <w:pPr>
        <w:topLinePunct/>
        <w:spacing w:line="500" w:lineRule="exact"/>
        <w:ind w:firstLineChars="200" w:firstLine="480"/>
        <w:rPr>
          <w:rFonts w:ascii="宋体" w:eastAsia="宋体" w:hAnsi="宋体"/>
          <w:sz w:val="24"/>
          <w:szCs w:val="24"/>
        </w:rPr>
      </w:pPr>
      <w:r>
        <w:rPr>
          <w:rFonts w:ascii="宋体" w:eastAsia="宋体" w:hAnsi="宋体" w:hint="eastAsia"/>
          <w:sz w:val="24"/>
          <w:szCs w:val="24"/>
        </w:rPr>
        <w:t>本指南系统梳理并整合了目前分散的</w:t>
      </w:r>
      <w:proofErr w:type="gramStart"/>
      <w:r>
        <w:rPr>
          <w:rFonts w:ascii="宋体" w:eastAsia="宋体" w:hAnsi="宋体" w:hint="eastAsia"/>
          <w:sz w:val="24"/>
          <w:szCs w:val="24"/>
        </w:rPr>
        <w:t>碳交易</w:t>
      </w:r>
      <w:proofErr w:type="gramEnd"/>
      <w:r>
        <w:rPr>
          <w:rFonts w:ascii="宋体" w:eastAsia="宋体" w:hAnsi="宋体" w:hint="eastAsia"/>
          <w:sz w:val="24"/>
          <w:szCs w:val="24"/>
        </w:rPr>
        <w:t>相关行政、技术、管理要求，结合试点</w:t>
      </w:r>
      <w:proofErr w:type="gramStart"/>
      <w:r>
        <w:rPr>
          <w:rFonts w:ascii="宋体" w:eastAsia="宋体" w:hAnsi="宋体" w:hint="eastAsia"/>
          <w:sz w:val="24"/>
          <w:szCs w:val="24"/>
        </w:rPr>
        <w:t>碳市</w:t>
      </w:r>
      <w:proofErr w:type="gramEnd"/>
      <w:r>
        <w:rPr>
          <w:rFonts w:ascii="宋体" w:eastAsia="宋体" w:hAnsi="宋体" w:hint="eastAsia"/>
          <w:sz w:val="24"/>
          <w:szCs w:val="24"/>
        </w:rPr>
        <w:t>场交易工作经验，按照</w:t>
      </w:r>
      <w:proofErr w:type="gramStart"/>
      <w:r>
        <w:rPr>
          <w:rFonts w:ascii="宋体" w:eastAsia="宋体" w:hAnsi="宋体" w:hint="eastAsia"/>
          <w:sz w:val="24"/>
          <w:szCs w:val="24"/>
        </w:rPr>
        <w:t>碳交</w:t>
      </w:r>
      <w:proofErr w:type="gramEnd"/>
      <w:r>
        <w:rPr>
          <w:rFonts w:ascii="宋体" w:eastAsia="宋体" w:hAnsi="宋体" w:hint="eastAsia"/>
          <w:sz w:val="24"/>
          <w:szCs w:val="24"/>
        </w:rPr>
        <w:t>易工作流程和重点事项编制而成。本指南是发电企业</w:t>
      </w:r>
      <w:proofErr w:type="gramStart"/>
      <w:r>
        <w:rPr>
          <w:rFonts w:ascii="宋体" w:eastAsia="宋体" w:hAnsi="宋体" w:hint="eastAsia"/>
          <w:sz w:val="24"/>
          <w:szCs w:val="24"/>
        </w:rPr>
        <w:t>开展碳排放权</w:t>
      </w:r>
      <w:proofErr w:type="gramEnd"/>
      <w:r>
        <w:rPr>
          <w:rFonts w:ascii="宋体" w:eastAsia="宋体" w:hAnsi="宋体" w:hint="eastAsia"/>
          <w:sz w:val="24"/>
          <w:szCs w:val="24"/>
        </w:rPr>
        <w:t>交易的方法类、工具类文件，可提升发电企业</w:t>
      </w:r>
      <w:proofErr w:type="gramStart"/>
      <w:r>
        <w:rPr>
          <w:rFonts w:ascii="宋体" w:eastAsia="宋体" w:hAnsi="宋体" w:hint="eastAsia"/>
          <w:sz w:val="24"/>
          <w:szCs w:val="24"/>
        </w:rPr>
        <w:t>碳交</w:t>
      </w:r>
      <w:proofErr w:type="gramEnd"/>
      <w:r>
        <w:rPr>
          <w:rFonts w:ascii="宋体" w:eastAsia="宋体" w:hAnsi="宋体" w:hint="eastAsia"/>
          <w:sz w:val="24"/>
          <w:szCs w:val="24"/>
        </w:rPr>
        <w:t>易工作能力，帮助企业顺利完成履约，落实我国碳排放控制目标，实现绿色低碳发展。</w:t>
      </w:r>
    </w:p>
    <w:p w:rsidR="001A7438" w:rsidRDefault="00534921">
      <w:pPr>
        <w:pStyle w:val="1"/>
        <w:spacing w:before="120" w:after="120" w:line="240" w:lineRule="atLeast"/>
        <w:rPr>
          <w:rFonts w:ascii="Times New Roman" w:eastAsia="宋体" w:hAnsi="Times New Roman" w:cs="Times New Roman"/>
          <w:bCs w:val="0"/>
          <w:sz w:val="32"/>
          <w:szCs w:val="20"/>
          <w:lang w:val="zh-CN"/>
        </w:rPr>
      </w:pPr>
      <w:bookmarkStart w:id="21" w:name="_Toc531159893"/>
      <w:r>
        <w:rPr>
          <w:rFonts w:ascii="Times New Roman" w:eastAsia="宋体" w:hAnsi="Times New Roman" w:cs="Times New Roman" w:hint="eastAsia"/>
          <w:bCs w:val="0"/>
          <w:sz w:val="32"/>
          <w:szCs w:val="20"/>
          <w:lang w:val="zh-CN"/>
        </w:rPr>
        <w:t>5.</w:t>
      </w:r>
      <w:r>
        <w:rPr>
          <w:rFonts w:ascii="Times New Roman" w:eastAsia="宋体" w:hAnsi="Times New Roman" w:cs="Times New Roman"/>
          <w:bCs w:val="0"/>
          <w:sz w:val="32"/>
          <w:szCs w:val="20"/>
          <w:lang w:val="zh-CN"/>
        </w:rPr>
        <w:t xml:space="preserve"> </w:t>
      </w:r>
      <w:r>
        <w:rPr>
          <w:rFonts w:ascii="Times New Roman" w:eastAsia="宋体" w:hAnsi="Times New Roman" w:cs="Times New Roman" w:hint="eastAsia"/>
          <w:bCs w:val="0"/>
          <w:sz w:val="32"/>
          <w:szCs w:val="20"/>
          <w:lang w:val="zh-CN"/>
        </w:rPr>
        <w:t>与现行法律、法规、政策及相关标准的协调关系</w:t>
      </w:r>
      <w:bookmarkEnd w:id="21"/>
    </w:p>
    <w:p w:rsidR="001A7438" w:rsidRDefault="00534921">
      <w:pPr>
        <w:topLinePunct/>
        <w:spacing w:line="360" w:lineRule="auto"/>
        <w:ind w:firstLineChars="200" w:firstLine="480"/>
        <w:rPr>
          <w:rFonts w:ascii="宋体" w:eastAsia="宋体" w:hAnsi="宋体"/>
          <w:sz w:val="24"/>
          <w:szCs w:val="24"/>
        </w:rPr>
      </w:pPr>
      <w:r>
        <w:rPr>
          <w:rFonts w:ascii="宋体" w:eastAsia="宋体" w:hAnsi="宋体" w:hint="eastAsia"/>
          <w:sz w:val="24"/>
          <w:szCs w:val="24"/>
        </w:rPr>
        <w:t>本指南符合国家《标准化法》等相关法律法规的规定，按照GB/T</w:t>
      </w:r>
      <w:r>
        <w:rPr>
          <w:rFonts w:ascii="宋体" w:eastAsia="宋体" w:hAnsi="宋体"/>
          <w:sz w:val="24"/>
          <w:szCs w:val="24"/>
        </w:rPr>
        <w:t xml:space="preserve"> </w:t>
      </w:r>
      <w:r>
        <w:rPr>
          <w:rFonts w:ascii="宋体" w:eastAsia="宋体" w:hAnsi="宋体" w:hint="eastAsia"/>
          <w:sz w:val="24"/>
          <w:szCs w:val="24"/>
        </w:rPr>
        <w:t>1.1-2009规定编写，与其他相关标准没有冲突。</w:t>
      </w:r>
    </w:p>
    <w:p w:rsidR="001A7438" w:rsidRDefault="00534921">
      <w:pPr>
        <w:pStyle w:val="1"/>
        <w:spacing w:before="120" w:after="120" w:line="240" w:lineRule="atLeast"/>
        <w:rPr>
          <w:rFonts w:ascii="Times New Roman" w:eastAsia="宋体" w:hAnsi="Times New Roman" w:cs="Times New Roman"/>
          <w:bCs w:val="0"/>
          <w:sz w:val="32"/>
          <w:szCs w:val="20"/>
          <w:lang w:val="zh-CN"/>
        </w:rPr>
      </w:pPr>
      <w:bookmarkStart w:id="22" w:name="_Toc531159894"/>
      <w:r>
        <w:rPr>
          <w:rFonts w:ascii="Times New Roman" w:eastAsia="宋体" w:hAnsi="Times New Roman" w:cs="Times New Roman" w:hint="eastAsia"/>
          <w:bCs w:val="0"/>
          <w:sz w:val="32"/>
          <w:szCs w:val="20"/>
          <w:lang w:val="zh-CN"/>
        </w:rPr>
        <w:t>6.</w:t>
      </w:r>
      <w:r>
        <w:rPr>
          <w:rFonts w:ascii="Times New Roman" w:eastAsia="宋体" w:hAnsi="Times New Roman" w:cs="Times New Roman"/>
          <w:bCs w:val="0"/>
          <w:sz w:val="32"/>
          <w:szCs w:val="20"/>
          <w:lang w:val="zh-CN"/>
        </w:rPr>
        <w:t xml:space="preserve"> </w:t>
      </w:r>
      <w:r>
        <w:rPr>
          <w:rFonts w:ascii="Times New Roman" w:eastAsia="宋体" w:hAnsi="Times New Roman" w:cs="Times New Roman" w:hint="eastAsia"/>
          <w:bCs w:val="0"/>
          <w:sz w:val="32"/>
          <w:szCs w:val="20"/>
          <w:lang w:val="zh-CN"/>
        </w:rPr>
        <w:t>贯彻标准的要求和措施建议</w:t>
      </w:r>
      <w:bookmarkEnd w:id="22"/>
    </w:p>
    <w:p w:rsidR="001A7438" w:rsidRDefault="00534921">
      <w:pPr>
        <w:topLinePunct/>
        <w:spacing w:line="360" w:lineRule="auto"/>
        <w:ind w:firstLineChars="200" w:firstLine="480"/>
        <w:rPr>
          <w:rFonts w:ascii="宋体" w:eastAsia="宋体" w:hAnsi="宋体"/>
          <w:sz w:val="24"/>
          <w:szCs w:val="24"/>
        </w:rPr>
      </w:pPr>
      <w:r>
        <w:rPr>
          <w:rFonts w:ascii="宋体" w:eastAsia="宋体" w:hAnsi="宋体"/>
          <w:sz w:val="24"/>
          <w:szCs w:val="24"/>
        </w:rPr>
        <w:t>本指南非规定类强制性标准，各发电企业可根据自身实际情况，参考并选用本指南中符合自身特点的条款。在本指南使用过程中，发现问题应及时向中电联反馈，以利于本指南的修改完善。</w:t>
      </w:r>
    </w:p>
    <w:p w:rsidR="001A7438" w:rsidRDefault="00534921">
      <w:pPr>
        <w:pStyle w:val="1"/>
        <w:spacing w:before="120" w:after="120" w:line="240" w:lineRule="atLeast"/>
        <w:rPr>
          <w:rFonts w:ascii="Times New Roman" w:eastAsia="宋体" w:hAnsi="Times New Roman" w:cs="Times New Roman"/>
          <w:bCs w:val="0"/>
          <w:sz w:val="32"/>
          <w:szCs w:val="20"/>
          <w:lang w:val="zh-CN"/>
        </w:rPr>
      </w:pPr>
      <w:bookmarkStart w:id="23" w:name="_Toc531159895"/>
      <w:r>
        <w:rPr>
          <w:rFonts w:ascii="Times New Roman" w:eastAsia="宋体" w:hAnsi="Times New Roman" w:cs="Times New Roman" w:hint="eastAsia"/>
          <w:bCs w:val="0"/>
          <w:sz w:val="32"/>
          <w:szCs w:val="20"/>
          <w:lang w:val="zh-CN"/>
        </w:rPr>
        <w:t>7.</w:t>
      </w:r>
      <w:r>
        <w:rPr>
          <w:rFonts w:ascii="Times New Roman" w:eastAsia="宋体" w:hAnsi="Times New Roman" w:cs="Times New Roman"/>
          <w:bCs w:val="0"/>
          <w:sz w:val="32"/>
          <w:szCs w:val="20"/>
          <w:lang w:val="zh-CN"/>
        </w:rPr>
        <w:t xml:space="preserve"> </w:t>
      </w:r>
      <w:r>
        <w:rPr>
          <w:rFonts w:ascii="Times New Roman" w:eastAsia="宋体" w:hAnsi="Times New Roman" w:cs="Times New Roman" w:hint="eastAsia"/>
          <w:bCs w:val="0"/>
          <w:sz w:val="32"/>
          <w:szCs w:val="20"/>
          <w:lang w:val="zh-CN"/>
        </w:rPr>
        <w:t>采用国际标准和国外先进标准情况</w:t>
      </w:r>
      <w:bookmarkEnd w:id="23"/>
    </w:p>
    <w:p w:rsidR="001A7438" w:rsidRDefault="00534921">
      <w:pPr>
        <w:topLinePunct/>
        <w:spacing w:line="500" w:lineRule="exact"/>
        <w:ind w:firstLineChars="200" w:firstLine="480"/>
        <w:rPr>
          <w:rFonts w:ascii="宋体" w:eastAsia="宋体" w:hAnsi="宋体"/>
          <w:sz w:val="24"/>
          <w:szCs w:val="24"/>
        </w:rPr>
      </w:pPr>
      <w:r>
        <w:rPr>
          <w:rFonts w:ascii="宋体" w:eastAsia="宋体" w:hAnsi="宋体" w:hint="eastAsia"/>
          <w:sz w:val="24"/>
          <w:szCs w:val="24"/>
        </w:rPr>
        <w:t>本指南系自主制定，属国内领先水平。</w:t>
      </w:r>
    </w:p>
    <w:p w:rsidR="001A7438" w:rsidRDefault="00534921">
      <w:pPr>
        <w:pStyle w:val="1"/>
        <w:spacing w:before="120" w:after="120" w:line="240" w:lineRule="atLeast"/>
        <w:rPr>
          <w:rFonts w:ascii="Times New Roman" w:eastAsia="宋体" w:hAnsi="Times New Roman" w:cs="Times New Roman"/>
          <w:bCs w:val="0"/>
          <w:sz w:val="32"/>
          <w:szCs w:val="20"/>
          <w:lang w:val="zh-CN"/>
        </w:rPr>
      </w:pPr>
      <w:bookmarkStart w:id="24" w:name="_Toc531159896"/>
      <w:r>
        <w:rPr>
          <w:rFonts w:ascii="Times New Roman" w:eastAsia="宋体" w:hAnsi="Times New Roman" w:cs="Times New Roman" w:hint="eastAsia"/>
          <w:bCs w:val="0"/>
          <w:sz w:val="32"/>
          <w:szCs w:val="20"/>
          <w:lang w:val="zh-CN"/>
        </w:rPr>
        <w:t>8.</w:t>
      </w:r>
      <w:r>
        <w:rPr>
          <w:rFonts w:ascii="Times New Roman" w:eastAsia="宋体" w:hAnsi="Times New Roman" w:cs="Times New Roman"/>
          <w:bCs w:val="0"/>
          <w:sz w:val="32"/>
          <w:szCs w:val="20"/>
          <w:lang w:val="zh-CN"/>
        </w:rPr>
        <w:t xml:space="preserve"> </w:t>
      </w:r>
      <w:r>
        <w:rPr>
          <w:rFonts w:ascii="Times New Roman" w:eastAsia="宋体" w:hAnsi="Times New Roman" w:cs="Times New Roman" w:hint="eastAsia"/>
          <w:bCs w:val="0"/>
          <w:sz w:val="32"/>
          <w:szCs w:val="20"/>
          <w:lang w:val="zh-CN"/>
        </w:rPr>
        <w:t>代替或废止现行标准的建议</w:t>
      </w:r>
      <w:bookmarkEnd w:id="24"/>
    </w:p>
    <w:p w:rsidR="001A7438" w:rsidRDefault="00534921">
      <w:pPr>
        <w:topLinePunct/>
        <w:spacing w:line="500" w:lineRule="exact"/>
        <w:ind w:firstLineChars="200" w:firstLine="480"/>
        <w:rPr>
          <w:rFonts w:ascii="宋体" w:eastAsia="宋体" w:hAnsi="宋体"/>
          <w:sz w:val="24"/>
          <w:szCs w:val="24"/>
        </w:rPr>
      </w:pPr>
      <w:r>
        <w:rPr>
          <w:rFonts w:ascii="宋体" w:eastAsia="宋体" w:hAnsi="宋体" w:hint="eastAsia"/>
          <w:sz w:val="24"/>
          <w:szCs w:val="24"/>
        </w:rPr>
        <w:t>无。</w:t>
      </w:r>
    </w:p>
    <w:p w:rsidR="001A7438" w:rsidRDefault="00534921">
      <w:pPr>
        <w:pStyle w:val="1"/>
        <w:spacing w:before="120" w:after="120" w:line="240" w:lineRule="atLeast"/>
        <w:rPr>
          <w:rFonts w:ascii="Times New Roman" w:eastAsia="宋体" w:hAnsi="Times New Roman" w:cs="Times New Roman"/>
          <w:bCs w:val="0"/>
          <w:sz w:val="32"/>
          <w:szCs w:val="20"/>
          <w:lang w:val="zh-CN"/>
        </w:rPr>
      </w:pPr>
      <w:bookmarkStart w:id="25" w:name="_Toc531159897"/>
      <w:r>
        <w:rPr>
          <w:rFonts w:ascii="Times New Roman" w:eastAsia="宋体" w:hAnsi="Times New Roman" w:cs="Times New Roman" w:hint="eastAsia"/>
          <w:bCs w:val="0"/>
          <w:sz w:val="32"/>
          <w:szCs w:val="20"/>
          <w:lang w:val="zh-CN"/>
        </w:rPr>
        <w:t>9.</w:t>
      </w:r>
      <w:r>
        <w:rPr>
          <w:rFonts w:ascii="Times New Roman" w:eastAsia="宋体" w:hAnsi="Times New Roman" w:cs="Times New Roman"/>
          <w:bCs w:val="0"/>
          <w:sz w:val="32"/>
          <w:szCs w:val="20"/>
          <w:lang w:val="zh-CN"/>
        </w:rPr>
        <w:t xml:space="preserve"> </w:t>
      </w:r>
      <w:r>
        <w:rPr>
          <w:rFonts w:ascii="Times New Roman" w:eastAsia="宋体" w:hAnsi="Times New Roman" w:cs="Times New Roman" w:hint="eastAsia"/>
          <w:bCs w:val="0"/>
          <w:sz w:val="32"/>
          <w:szCs w:val="20"/>
          <w:lang w:val="zh-CN"/>
        </w:rPr>
        <w:t>重要技术内容的解释和其它应予说明的事项</w:t>
      </w:r>
      <w:bookmarkEnd w:id="25"/>
    </w:p>
    <w:p w:rsidR="001A7438" w:rsidRDefault="00534921">
      <w:pPr>
        <w:pStyle w:val="2"/>
        <w:spacing w:before="120" w:after="120" w:line="240" w:lineRule="auto"/>
        <w:ind w:left="576" w:hanging="576"/>
        <w:rPr>
          <w:rFonts w:ascii="Times New Roman" w:hAnsi="Times New Roman"/>
          <w:bCs w:val="0"/>
          <w:sz w:val="30"/>
          <w:szCs w:val="20"/>
          <w:lang w:val="zh-CN"/>
        </w:rPr>
      </w:pPr>
      <w:bookmarkStart w:id="26" w:name="_Toc531159898"/>
      <w:r>
        <w:rPr>
          <w:rFonts w:ascii="Times New Roman" w:hAnsi="Times New Roman" w:hint="eastAsia"/>
          <w:bCs w:val="0"/>
          <w:sz w:val="30"/>
          <w:szCs w:val="20"/>
          <w:lang w:val="zh-CN"/>
        </w:rPr>
        <w:t>9.</w:t>
      </w:r>
      <w:r>
        <w:rPr>
          <w:rFonts w:ascii="Times New Roman" w:hAnsi="Times New Roman"/>
          <w:bCs w:val="0"/>
          <w:sz w:val="30"/>
          <w:szCs w:val="20"/>
          <w:lang w:val="zh-CN"/>
        </w:rPr>
        <w:t>1</w:t>
      </w:r>
      <w:r>
        <w:rPr>
          <w:rFonts w:ascii="Times New Roman" w:hAnsi="Times New Roman" w:hint="eastAsia"/>
          <w:bCs w:val="0"/>
          <w:sz w:val="30"/>
          <w:szCs w:val="20"/>
          <w:lang w:val="zh-CN"/>
        </w:rPr>
        <w:t>适用范围</w:t>
      </w:r>
      <w:bookmarkEnd w:id="26"/>
    </w:p>
    <w:p w:rsidR="001A7438" w:rsidRDefault="00534921">
      <w:pPr>
        <w:topLinePunct/>
        <w:spacing w:line="360" w:lineRule="auto"/>
        <w:ind w:firstLineChars="200" w:firstLine="480"/>
        <w:rPr>
          <w:rFonts w:ascii="宋体" w:eastAsia="宋体" w:hAnsi="宋体"/>
          <w:sz w:val="24"/>
          <w:szCs w:val="24"/>
        </w:rPr>
      </w:pPr>
      <w:r>
        <w:rPr>
          <w:rFonts w:ascii="宋体" w:eastAsia="宋体" w:hAnsi="宋体"/>
          <w:sz w:val="24"/>
          <w:szCs w:val="24"/>
        </w:rPr>
        <w:t>2017年12月我国在发电行业率先启动全国碳市场，《市场建设方案》</w:t>
      </w:r>
      <w:r>
        <w:rPr>
          <w:rFonts w:ascii="宋体" w:eastAsia="宋体" w:hAnsi="宋体" w:hint="eastAsia"/>
          <w:sz w:val="24"/>
          <w:szCs w:val="24"/>
        </w:rPr>
        <w:t>中</w:t>
      </w:r>
      <w:r>
        <w:rPr>
          <w:rFonts w:ascii="宋体" w:eastAsia="宋体" w:hAnsi="宋体"/>
          <w:sz w:val="24"/>
          <w:szCs w:val="24"/>
        </w:rPr>
        <w:t>明</w:t>
      </w:r>
      <w:r>
        <w:rPr>
          <w:rFonts w:ascii="宋体" w:eastAsia="宋体" w:hAnsi="宋体"/>
          <w:sz w:val="24"/>
          <w:szCs w:val="24"/>
        </w:rPr>
        <w:lastRenderedPageBreak/>
        <w:t>确纳入全国</w:t>
      </w:r>
      <w:proofErr w:type="gramStart"/>
      <w:r>
        <w:rPr>
          <w:rFonts w:ascii="宋体" w:eastAsia="宋体" w:hAnsi="宋体"/>
          <w:sz w:val="24"/>
          <w:szCs w:val="24"/>
        </w:rPr>
        <w:t>碳市场</w:t>
      </w:r>
      <w:proofErr w:type="gramEnd"/>
      <w:r>
        <w:rPr>
          <w:rFonts w:ascii="宋体" w:eastAsia="宋体" w:hAnsi="宋体"/>
          <w:sz w:val="24"/>
          <w:szCs w:val="24"/>
        </w:rPr>
        <w:t>的重点排放单位为“年度排放达到2.6万吨二氧化碳当量（综合能源消费量约1万吨标准煤）及以上的企业或者其他经济组织”，并且规定“年度排放达到2.6万吨二氧化碳当量及以上的其他行业自备电厂视同发电行业重点排放单位管理”。因此，本指南的适用范围为“</w:t>
      </w:r>
      <w:r>
        <w:rPr>
          <w:rFonts w:ascii="宋体" w:eastAsia="宋体" w:hAnsi="宋体" w:hint="eastAsia"/>
          <w:sz w:val="24"/>
          <w:szCs w:val="24"/>
        </w:rPr>
        <w:t>纳入全国碳排放权交易市场的发电企业，自备电厂参照执行</w:t>
      </w:r>
      <w:r>
        <w:rPr>
          <w:rFonts w:ascii="宋体" w:eastAsia="宋体" w:hAnsi="宋体"/>
          <w:sz w:val="24"/>
          <w:szCs w:val="24"/>
        </w:rPr>
        <w:t>”。</w:t>
      </w:r>
    </w:p>
    <w:p w:rsidR="001A7438" w:rsidRDefault="00534921">
      <w:pPr>
        <w:topLinePunct/>
        <w:spacing w:line="360" w:lineRule="auto"/>
        <w:ind w:firstLineChars="200" w:firstLine="480"/>
        <w:rPr>
          <w:rFonts w:ascii="宋体" w:eastAsia="宋体" w:hAnsi="宋体"/>
          <w:sz w:val="24"/>
          <w:szCs w:val="24"/>
        </w:rPr>
      </w:pPr>
      <w:r>
        <w:rPr>
          <w:rFonts w:ascii="宋体" w:eastAsia="宋体" w:hAnsi="宋体" w:hint="eastAsia"/>
          <w:sz w:val="24"/>
          <w:szCs w:val="24"/>
        </w:rPr>
        <w:t>《市场建设方案》明确“创造条件，尽早将国家核证自愿减排量纳入全国碳市场”，届时可再生能源发电企业作为减排企业，可通过开发国家核证自愿减排量参与全国碳市场。本指南6.4部分专门对自愿减排项目管理给出了指导，并且本指南</w:t>
      </w:r>
      <w:proofErr w:type="gramStart"/>
      <w:r>
        <w:rPr>
          <w:rFonts w:ascii="宋体" w:eastAsia="宋体" w:hAnsi="宋体" w:hint="eastAsia"/>
          <w:sz w:val="24"/>
          <w:szCs w:val="24"/>
        </w:rPr>
        <w:t>的碳排放权</w:t>
      </w:r>
      <w:proofErr w:type="gramEnd"/>
      <w:r>
        <w:rPr>
          <w:rFonts w:ascii="宋体" w:eastAsia="宋体" w:hAnsi="宋体" w:hint="eastAsia"/>
          <w:sz w:val="24"/>
          <w:szCs w:val="24"/>
        </w:rPr>
        <w:t>交易管理体系、能力建设、信息管理等</w:t>
      </w:r>
      <w:proofErr w:type="gramStart"/>
      <w:r>
        <w:rPr>
          <w:rFonts w:ascii="宋体" w:eastAsia="宋体" w:hAnsi="宋体" w:hint="eastAsia"/>
          <w:sz w:val="24"/>
          <w:szCs w:val="24"/>
        </w:rPr>
        <w:t>内容对减</w:t>
      </w:r>
      <w:proofErr w:type="gramEnd"/>
      <w:r>
        <w:rPr>
          <w:rFonts w:ascii="宋体" w:eastAsia="宋体" w:hAnsi="宋体" w:hint="eastAsia"/>
          <w:sz w:val="24"/>
          <w:szCs w:val="24"/>
        </w:rPr>
        <w:t>排企业同样具有指导意义。</w:t>
      </w:r>
    </w:p>
    <w:p w:rsidR="001A7438" w:rsidRDefault="00534921">
      <w:pPr>
        <w:pStyle w:val="2"/>
        <w:spacing w:before="120" w:after="120" w:line="240" w:lineRule="auto"/>
        <w:ind w:left="576" w:hanging="576"/>
        <w:rPr>
          <w:rFonts w:ascii="Times New Roman" w:hAnsi="Times New Roman"/>
          <w:bCs w:val="0"/>
          <w:sz w:val="30"/>
          <w:szCs w:val="20"/>
          <w:lang w:val="zh-CN"/>
        </w:rPr>
      </w:pPr>
      <w:bookmarkStart w:id="27" w:name="_Toc531159899"/>
      <w:r>
        <w:rPr>
          <w:rFonts w:ascii="Times New Roman" w:hAnsi="Times New Roman" w:hint="eastAsia"/>
          <w:bCs w:val="0"/>
          <w:sz w:val="30"/>
          <w:szCs w:val="20"/>
          <w:lang w:val="zh-CN"/>
        </w:rPr>
        <w:t>9.2</w:t>
      </w:r>
      <w:r>
        <w:rPr>
          <w:rFonts w:ascii="Times New Roman" w:hAnsi="Times New Roman" w:hint="eastAsia"/>
          <w:bCs w:val="0"/>
          <w:sz w:val="30"/>
          <w:szCs w:val="20"/>
          <w:lang w:val="zh-CN"/>
        </w:rPr>
        <w:t>术语及定义</w:t>
      </w:r>
      <w:bookmarkEnd w:id="27"/>
    </w:p>
    <w:p w:rsidR="001A7438" w:rsidRDefault="00534921">
      <w:pPr>
        <w:topLinePunct/>
        <w:spacing w:line="360" w:lineRule="auto"/>
        <w:ind w:firstLineChars="200" w:firstLine="480"/>
        <w:rPr>
          <w:rFonts w:ascii="宋体" w:eastAsia="宋体" w:hAnsi="宋体"/>
          <w:sz w:val="24"/>
          <w:szCs w:val="24"/>
        </w:rPr>
      </w:pPr>
      <w:r>
        <w:rPr>
          <w:rFonts w:ascii="宋体" w:eastAsia="宋体" w:hAnsi="宋体"/>
          <w:sz w:val="24"/>
          <w:szCs w:val="24"/>
        </w:rPr>
        <w:t>GB/T 32150《工业企业温室气体排放核算和报告通则》、GB/T 32151.1《温室气体排放核算与报告要求第1部分：发电企业》、HJ 75《固定污染源烟气（SO</w:t>
      </w:r>
      <w:r>
        <w:rPr>
          <w:rFonts w:ascii="宋体" w:eastAsia="宋体" w:hAnsi="宋体"/>
          <w:sz w:val="24"/>
          <w:szCs w:val="24"/>
          <w:vertAlign w:val="subscript"/>
        </w:rPr>
        <w:t>2</w:t>
      </w:r>
      <w:r>
        <w:rPr>
          <w:rFonts w:ascii="宋体" w:eastAsia="宋体" w:hAnsi="宋体"/>
          <w:sz w:val="24"/>
          <w:szCs w:val="24"/>
        </w:rPr>
        <w:t>、NO</w:t>
      </w:r>
      <w:r>
        <w:rPr>
          <w:rFonts w:ascii="宋体" w:eastAsia="宋体" w:hAnsi="宋体"/>
          <w:sz w:val="24"/>
          <w:szCs w:val="24"/>
          <w:vertAlign w:val="subscript"/>
        </w:rPr>
        <w:t>X</w:t>
      </w:r>
      <w:r>
        <w:rPr>
          <w:rFonts w:ascii="宋体" w:eastAsia="宋体" w:hAnsi="宋体"/>
          <w:sz w:val="24"/>
          <w:szCs w:val="24"/>
        </w:rPr>
        <w:t>、颗粒物）排放连续监测技术规范》等标准界定的术语适用于本指南，此外还增加</w:t>
      </w:r>
      <w:proofErr w:type="gramStart"/>
      <w:r>
        <w:rPr>
          <w:rFonts w:ascii="宋体" w:eastAsia="宋体" w:hAnsi="宋体"/>
          <w:sz w:val="24"/>
          <w:szCs w:val="24"/>
        </w:rPr>
        <w:t>了控排企业</w:t>
      </w:r>
      <w:proofErr w:type="gramEnd"/>
      <w:r>
        <w:rPr>
          <w:rFonts w:ascii="宋体" w:eastAsia="宋体" w:hAnsi="宋体"/>
          <w:sz w:val="24"/>
          <w:szCs w:val="24"/>
        </w:rPr>
        <w:t>、排放配额等术语。</w:t>
      </w:r>
    </w:p>
    <w:p w:rsidR="001A7438" w:rsidRDefault="00534921">
      <w:pPr>
        <w:topLinePunct/>
        <w:spacing w:line="500" w:lineRule="exact"/>
        <w:ind w:firstLineChars="200" w:firstLine="480"/>
        <w:rPr>
          <w:rFonts w:ascii="宋体" w:eastAsia="宋体" w:hAnsi="宋体"/>
          <w:sz w:val="24"/>
          <w:szCs w:val="24"/>
        </w:rPr>
      </w:pPr>
      <w:r>
        <w:rPr>
          <w:rFonts w:ascii="宋体" w:eastAsia="宋体" w:hAnsi="宋体" w:hint="eastAsia"/>
          <w:sz w:val="24"/>
          <w:szCs w:val="24"/>
        </w:rPr>
        <w:t>术语“控排企业”的定义为“被碳排放权交易主管部门作为重点排放单位纳入全国碳排放权交易市场的发电企业”，借鉴了《市场建设方案》中关于“重点排放单位”的表述。</w:t>
      </w:r>
    </w:p>
    <w:p w:rsidR="001A7438" w:rsidRDefault="00534921">
      <w:pPr>
        <w:topLinePunct/>
        <w:spacing w:line="500" w:lineRule="exact"/>
        <w:ind w:firstLineChars="200" w:firstLine="480"/>
        <w:rPr>
          <w:rFonts w:ascii="宋体" w:eastAsia="宋体" w:hAnsi="宋体"/>
          <w:sz w:val="24"/>
          <w:szCs w:val="24"/>
        </w:rPr>
      </w:pPr>
      <w:r>
        <w:rPr>
          <w:rFonts w:ascii="宋体" w:eastAsia="宋体" w:hAnsi="宋体" w:hint="eastAsia"/>
          <w:sz w:val="24"/>
          <w:szCs w:val="24"/>
        </w:rPr>
        <w:t>术语“排放配额”的定义为“政府分配的碳排放权凭证和载体，控排企业被允许向大气中排放</w:t>
      </w:r>
      <w:r>
        <w:rPr>
          <w:rFonts w:ascii="宋体" w:eastAsia="宋体" w:hAnsi="宋体"/>
          <w:sz w:val="24"/>
          <w:szCs w:val="24"/>
        </w:rPr>
        <w:t>1吨二氧化碳当量温室气体的权利为1个排放配额”，其中，“二氧化碳当量”是用作比较不同温室气体排放的度量单位，一种温室气体的二氧化碳当量为这种气体的吨数乘以其</w:t>
      </w:r>
      <w:r>
        <w:rPr>
          <w:rFonts w:ascii="宋体" w:eastAsia="宋体" w:hAnsi="宋体" w:hint="eastAsia"/>
          <w:sz w:val="24"/>
          <w:szCs w:val="24"/>
        </w:rPr>
        <w:t>全球</w:t>
      </w:r>
      <w:r w:rsidR="003F595F">
        <w:rPr>
          <w:rFonts w:ascii="宋体" w:eastAsia="宋体" w:hAnsi="宋体" w:hint="eastAsia"/>
          <w:sz w:val="24"/>
          <w:szCs w:val="24"/>
        </w:rPr>
        <w:t>增温</w:t>
      </w:r>
      <w:r>
        <w:rPr>
          <w:rFonts w:ascii="宋体" w:eastAsia="宋体" w:hAnsi="宋体" w:hint="eastAsia"/>
          <w:sz w:val="24"/>
          <w:szCs w:val="24"/>
        </w:rPr>
        <w:t>潜势</w:t>
      </w:r>
      <w:r>
        <w:rPr>
          <w:rFonts w:ascii="宋体" w:eastAsia="宋体" w:hAnsi="宋体"/>
          <w:sz w:val="24"/>
          <w:szCs w:val="24"/>
        </w:rPr>
        <w:t>。</w:t>
      </w:r>
    </w:p>
    <w:p w:rsidR="001A7438" w:rsidRDefault="00534921">
      <w:pPr>
        <w:pStyle w:val="2"/>
        <w:spacing w:before="120" w:after="120" w:line="240" w:lineRule="auto"/>
        <w:ind w:left="576" w:hanging="576"/>
        <w:rPr>
          <w:rFonts w:ascii="Times New Roman" w:hAnsi="Times New Roman"/>
          <w:bCs w:val="0"/>
          <w:sz w:val="30"/>
          <w:szCs w:val="20"/>
          <w:lang w:val="zh-CN"/>
        </w:rPr>
      </w:pPr>
      <w:bookmarkStart w:id="28" w:name="_Toc531159900"/>
      <w:r>
        <w:rPr>
          <w:rFonts w:ascii="Times New Roman" w:hAnsi="Times New Roman" w:hint="eastAsia"/>
          <w:bCs w:val="0"/>
          <w:sz w:val="30"/>
          <w:szCs w:val="20"/>
          <w:lang w:val="zh-CN"/>
        </w:rPr>
        <w:t>9.3</w:t>
      </w:r>
      <w:r>
        <w:rPr>
          <w:rFonts w:ascii="Times New Roman" w:hAnsi="Times New Roman" w:hint="eastAsia"/>
          <w:bCs w:val="0"/>
          <w:sz w:val="30"/>
          <w:szCs w:val="20"/>
          <w:lang w:val="zh-CN"/>
        </w:rPr>
        <w:t>交易原则</w:t>
      </w:r>
      <w:bookmarkEnd w:id="28"/>
    </w:p>
    <w:p w:rsidR="001A7438" w:rsidRDefault="00534921">
      <w:pPr>
        <w:topLinePunct/>
        <w:spacing w:line="500" w:lineRule="exact"/>
        <w:ind w:firstLineChars="200" w:firstLine="480"/>
        <w:rPr>
          <w:rFonts w:ascii="宋体" w:eastAsia="宋体" w:hAnsi="宋体"/>
          <w:sz w:val="24"/>
          <w:szCs w:val="24"/>
        </w:rPr>
      </w:pPr>
      <w:r>
        <w:rPr>
          <w:rFonts w:ascii="宋体" w:eastAsia="宋体" w:hAnsi="宋体" w:hint="eastAsia"/>
          <w:sz w:val="24"/>
          <w:szCs w:val="24"/>
        </w:rPr>
        <w:t>全国</w:t>
      </w:r>
      <w:proofErr w:type="gramStart"/>
      <w:r>
        <w:rPr>
          <w:rFonts w:ascii="宋体" w:eastAsia="宋体" w:hAnsi="宋体" w:hint="eastAsia"/>
          <w:sz w:val="24"/>
          <w:szCs w:val="24"/>
        </w:rPr>
        <w:t>碳市场</w:t>
      </w:r>
      <w:proofErr w:type="gramEnd"/>
      <w:r>
        <w:rPr>
          <w:rFonts w:ascii="宋体" w:eastAsia="宋体" w:hAnsi="宋体" w:hint="eastAsia"/>
          <w:sz w:val="24"/>
          <w:szCs w:val="24"/>
        </w:rPr>
        <w:t>定位为控制温室气体排放的政策工具，发电企业作为参与主体，应依法规范、诚信自律开展工作；</w:t>
      </w:r>
      <w:proofErr w:type="gramStart"/>
      <w:r>
        <w:rPr>
          <w:rFonts w:ascii="宋体" w:eastAsia="宋体" w:hAnsi="宋体" w:hint="eastAsia"/>
          <w:sz w:val="24"/>
          <w:szCs w:val="24"/>
        </w:rPr>
        <w:t>碳排放权</w:t>
      </w:r>
      <w:proofErr w:type="gramEnd"/>
      <w:r>
        <w:rPr>
          <w:rFonts w:ascii="宋体" w:eastAsia="宋体" w:hAnsi="宋体" w:hint="eastAsia"/>
          <w:sz w:val="24"/>
          <w:szCs w:val="24"/>
        </w:rPr>
        <w:t>交易作为一种市场机制，应允许发电企业自主自愿参与交易，充分发挥企业积极性和主动性；此外，全国</w:t>
      </w:r>
      <w:proofErr w:type="gramStart"/>
      <w:r>
        <w:rPr>
          <w:rFonts w:ascii="宋体" w:eastAsia="宋体" w:hAnsi="宋体" w:hint="eastAsia"/>
          <w:sz w:val="24"/>
          <w:szCs w:val="24"/>
        </w:rPr>
        <w:t>碳市场</w:t>
      </w:r>
      <w:proofErr w:type="gramEnd"/>
      <w:r>
        <w:rPr>
          <w:rFonts w:ascii="宋体" w:eastAsia="宋体" w:hAnsi="宋体" w:hint="eastAsia"/>
          <w:sz w:val="24"/>
          <w:szCs w:val="24"/>
        </w:rPr>
        <w:t>还需要注意与电力行业其他政策之间的协调，维护电力系统安全，推动发电企业节能</w:t>
      </w:r>
      <w:r>
        <w:rPr>
          <w:rFonts w:ascii="宋体" w:eastAsia="宋体" w:hAnsi="宋体" w:hint="eastAsia"/>
          <w:sz w:val="24"/>
          <w:szCs w:val="24"/>
        </w:rPr>
        <w:lastRenderedPageBreak/>
        <w:t>减排。因此，本指南将发电</w:t>
      </w:r>
      <w:proofErr w:type="gramStart"/>
      <w:r>
        <w:rPr>
          <w:rFonts w:ascii="宋体" w:eastAsia="宋体" w:hAnsi="宋体" w:hint="eastAsia"/>
          <w:sz w:val="24"/>
          <w:szCs w:val="24"/>
        </w:rPr>
        <w:t>企业碳排放权</w:t>
      </w:r>
      <w:proofErr w:type="gramEnd"/>
      <w:r>
        <w:rPr>
          <w:rFonts w:ascii="宋体" w:eastAsia="宋体" w:hAnsi="宋体" w:hint="eastAsia"/>
          <w:sz w:val="24"/>
          <w:szCs w:val="24"/>
        </w:rPr>
        <w:t>交易原则确定为“依法规范、诚信自律、自主自愿、维护电力系统安全、促进节能减排”。</w:t>
      </w:r>
    </w:p>
    <w:p w:rsidR="001A7438" w:rsidRDefault="00534921">
      <w:pPr>
        <w:pStyle w:val="2"/>
        <w:spacing w:before="120" w:after="120" w:line="240" w:lineRule="auto"/>
        <w:ind w:left="576" w:hanging="576"/>
        <w:rPr>
          <w:rFonts w:ascii="Times New Roman" w:hAnsi="Times New Roman"/>
          <w:bCs w:val="0"/>
          <w:sz w:val="30"/>
          <w:szCs w:val="20"/>
          <w:lang w:val="zh-CN"/>
        </w:rPr>
      </w:pPr>
      <w:bookmarkStart w:id="29" w:name="_Toc531159901"/>
      <w:r>
        <w:rPr>
          <w:rFonts w:ascii="Times New Roman" w:hAnsi="Times New Roman" w:hint="eastAsia"/>
          <w:bCs w:val="0"/>
          <w:sz w:val="30"/>
          <w:szCs w:val="20"/>
          <w:lang w:val="zh-CN"/>
        </w:rPr>
        <w:t>9.4</w:t>
      </w:r>
      <w:r>
        <w:rPr>
          <w:rFonts w:ascii="Times New Roman" w:hAnsi="Times New Roman" w:hint="eastAsia"/>
          <w:bCs w:val="0"/>
          <w:sz w:val="30"/>
          <w:szCs w:val="20"/>
          <w:lang w:val="zh-CN"/>
        </w:rPr>
        <w:t>交易管理体系</w:t>
      </w:r>
      <w:bookmarkEnd w:id="29"/>
    </w:p>
    <w:p w:rsidR="001A7438" w:rsidRDefault="00534921">
      <w:pPr>
        <w:pStyle w:val="af4"/>
        <w:numPr>
          <w:ilvl w:val="0"/>
          <w:numId w:val="2"/>
        </w:numPr>
        <w:tabs>
          <w:tab w:val="left" w:pos="709"/>
          <w:tab w:val="left" w:pos="851"/>
        </w:tabs>
        <w:topLinePunct/>
        <w:spacing w:line="500" w:lineRule="exact"/>
        <w:ind w:left="0" w:firstLineChars="0" w:firstLine="480"/>
        <w:rPr>
          <w:rFonts w:ascii="宋体" w:eastAsia="宋体" w:hAnsi="宋体"/>
          <w:sz w:val="24"/>
          <w:szCs w:val="24"/>
        </w:rPr>
      </w:pPr>
      <w:r>
        <w:rPr>
          <w:rFonts w:ascii="宋体" w:eastAsia="宋体" w:hAnsi="宋体" w:hint="eastAsia"/>
          <w:sz w:val="24"/>
          <w:szCs w:val="24"/>
        </w:rPr>
        <w:t>本指南第5.</w:t>
      </w:r>
      <w:r>
        <w:rPr>
          <w:rFonts w:ascii="宋体" w:eastAsia="宋体" w:hAnsi="宋体"/>
          <w:sz w:val="24"/>
          <w:szCs w:val="24"/>
        </w:rPr>
        <w:t>2</w:t>
      </w:r>
      <w:r>
        <w:rPr>
          <w:rFonts w:ascii="宋体" w:eastAsia="宋体" w:hAnsi="宋体" w:hint="eastAsia"/>
          <w:sz w:val="24"/>
          <w:szCs w:val="24"/>
        </w:rPr>
        <w:t>条</w:t>
      </w:r>
      <w:r>
        <w:rPr>
          <w:rFonts w:ascii="宋体" w:eastAsia="宋体" w:hAnsi="宋体"/>
          <w:sz w:val="24"/>
          <w:szCs w:val="24"/>
        </w:rPr>
        <w:t>将发电企业</w:t>
      </w:r>
      <w:proofErr w:type="gramStart"/>
      <w:r>
        <w:rPr>
          <w:rFonts w:ascii="宋体" w:eastAsia="宋体" w:hAnsi="宋体"/>
          <w:sz w:val="24"/>
          <w:szCs w:val="24"/>
        </w:rPr>
        <w:t>碳交易</w:t>
      </w:r>
      <w:proofErr w:type="gramEnd"/>
      <w:r>
        <w:rPr>
          <w:rFonts w:ascii="宋体" w:eastAsia="宋体" w:hAnsi="宋体"/>
          <w:sz w:val="24"/>
          <w:szCs w:val="24"/>
        </w:rPr>
        <w:t>管理模式分为自行管理、集中</w:t>
      </w:r>
      <w:r>
        <w:rPr>
          <w:rFonts w:ascii="宋体" w:eastAsia="宋体" w:hAnsi="宋体" w:hint="eastAsia"/>
          <w:sz w:val="24"/>
          <w:szCs w:val="24"/>
        </w:rPr>
        <w:t>管理</w:t>
      </w:r>
      <w:r>
        <w:rPr>
          <w:rFonts w:ascii="宋体" w:eastAsia="宋体" w:hAnsi="宋体"/>
          <w:sz w:val="24"/>
          <w:szCs w:val="24"/>
        </w:rPr>
        <w:t>和委托管理</w:t>
      </w:r>
      <w:r>
        <w:rPr>
          <w:rFonts w:ascii="宋体" w:eastAsia="宋体" w:hAnsi="宋体" w:hint="eastAsia"/>
          <w:sz w:val="24"/>
          <w:szCs w:val="24"/>
        </w:rPr>
        <w:t>三类</w:t>
      </w:r>
      <w:r>
        <w:rPr>
          <w:rFonts w:ascii="宋体" w:eastAsia="宋体" w:hAnsi="宋体"/>
          <w:sz w:val="24"/>
          <w:szCs w:val="24"/>
        </w:rPr>
        <w:t>。</w:t>
      </w:r>
      <w:r>
        <w:rPr>
          <w:rFonts w:ascii="宋体" w:eastAsia="宋体" w:hAnsi="宋体" w:hint="eastAsia"/>
          <w:sz w:val="24"/>
          <w:szCs w:val="24"/>
        </w:rPr>
        <w:t>拥有多个发电企业的发电集团采用集中管理模式，可充分发挥集团公司的规模优势，控制市场风险，降低履约成本，实现集团利益最大化，该模式已被国内多家发电集团采用，成效显著。因此，本指南明确了“拥有多家发电企业的发电集团宜采用集中管理模式”。</w:t>
      </w:r>
    </w:p>
    <w:p w:rsidR="001A7438" w:rsidRDefault="00534921">
      <w:pPr>
        <w:pStyle w:val="af4"/>
        <w:numPr>
          <w:ilvl w:val="0"/>
          <w:numId w:val="2"/>
        </w:numPr>
        <w:tabs>
          <w:tab w:val="left" w:pos="709"/>
          <w:tab w:val="left" w:pos="851"/>
        </w:tabs>
        <w:topLinePunct/>
        <w:spacing w:line="500" w:lineRule="exact"/>
        <w:ind w:left="0" w:firstLineChars="0" w:firstLine="480"/>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5.3.</w:t>
      </w:r>
      <w:r>
        <w:rPr>
          <w:rFonts w:ascii="宋体" w:eastAsia="宋体" w:hAnsi="宋体" w:hint="eastAsia"/>
          <w:sz w:val="24"/>
          <w:szCs w:val="24"/>
        </w:rPr>
        <w:t>2条“</w:t>
      </w:r>
      <w:r>
        <w:rPr>
          <w:rFonts w:ascii="宋体" w:eastAsia="宋体" w:hAnsi="宋体"/>
          <w:sz w:val="24"/>
          <w:szCs w:val="24"/>
        </w:rPr>
        <w:t>自行管理”</w:t>
      </w:r>
      <w:r>
        <w:rPr>
          <w:rFonts w:ascii="宋体" w:eastAsia="宋体" w:hAnsi="宋体" w:hint="eastAsia"/>
          <w:sz w:val="24"/>
          <w:szCs w:val="24"/>
        </w:rPr>
        <w:t>，</w:t>
      </w:r>
      <w:r>
        <w:rPr>
          <w:rFonts w:ascii="宋体" w:eastAsia="宋体" w:hAnsi="宋体"/>
          <w:sz w:val="24"/>
          <w:szCs w:val="24"/>
        </w:rPr>
        <w:t>明确了</w:t>
      </w:r>
      <w:r>
        <w:rPr>
          <w:rFonts w:ascii="宋体" w:eastAsia="宋体" w:hAnsi="宋体" w:hint="eastAsia"/>
          <w:sz w:val="24"/>
          <w:szCs w:val="24"/>
        </w:rPr>
        <w:t>自行管理发电企业</w:t>
      </w:r>
      <w:r>
        <w:rPr>
          <w:rFonts w:ascii="宋体" w:eastAsia="宋体" w:hAnsi="宋体"/>
          <w:sz w:val="24"/>
          <w:szCs w:val="24"/>
        </w:rPr>
        <w:t>内部的</w:t>
      </w:r>
      <w:proofErr w:type="gramStart"/>
      <w:r>
        <w:rPr>
          <w:rFonts w:ascii="宋体" w:eastAsia="宋体" w:hAnsi="宋体"/>
          <w:sz w:val="24"/>
          <w:szCs w:val="24"/>
        </w:rPr>
        <w:t>碳</w:t>
      </w:r>
      <w:r>
        <w:rPr>
          <w:rFonts w:ascii="宋体" w:eastAsia="宋体" w:hAnsi="宋体" w:hint="eastAsia"/>
          <w:sz w:val="24"/>
          <w:szCs w:val="24"/>
        </w:rPr>
        <w:t>交易</w:t>
      </w:r>
      <w:proofErr w:type="gramEnd"/>
      <w:r>
        <w:rPr>
          <w:rFonts w:ascii="宋体" w:eastAsia="宋体" w:hAnsi="宋体" w:hint="eastAsia"/>
          <w:sz w:val="24"/>
          <w:szCs w:val="24"/>
        </w:rPr>
        <w:t>工作组织机构</w:t>
      </w:r>
      <w:r>
        <w:rPr>
          <w:rFonts w:ascii="宋体" w:eastAsia="宋体" w:hAnsi="宋体"/>
          <w:sz w:val="24"/>
          <w:szCs w:val="24"/>
        </w:rPr>
        <w:t>及</w:t>
      </w:r>
      <w:r>
        <w:rPr>
          <w:rFonts w:ascii="宋体" w:eastAsia="宋体" w:hAnsi="宋体" w:hint="eastAsia"/>
          <w:sz w:val="24"/>
          <w:szCs w:val="24"/>
        </w:rPr>
        <w:t>其</w:t>
      </w:r>
      <w:r>
        <w:rPr>
          <w:rFonts w:ascii="宋体" w:eastAsia="宋体" w:hAnsi="宋体"/>
          <w:sz w:val="24"/>
          <w:szCs w:val="24"/>
        </w:rPr>
        <w:t>工作职责。实行集中管理的发电集团，其所属发电企业也可按照本</w:t>
      </w:r>
      <w:r>
        <w:rPr>
          <w:rFonts w:ascii="宋体" w:eastAsia="宋体" w:hAnsi="宋体" w:hint="eastAsia"/>
          <w:sz w:val="24"/>
          <w:szCs w:val="24"/>
        </w:rPr>
        <w:t>条</w:t>
      </w:r>
      <w:r>
        <w:rPr>
          <w:rFonts w:ascii="宋体" w:eastAsia="宋体" w:hAnsi="宋体"/>
          <w:sz w:val="24"/>
          <w:szCs w:val="24"/>
        </w:rPr>
        <w:t>内容建立相应的</w:t>
      </w:r>
      <w:r>
        <w:rPr>
          <w:rFonts w:ascii="宋体" w:eastAsia="宋体" w:hAnsi="宋体" w:hint="eastAsia"/>
          <w:sz w:val="24"/>
          <w:szCs w:val="24"/>
        </w:rPr>
        <w:t>组织</w:t>
      </w:r>
      <w:r>
        <w:rPr>
          <w:rFonts w:ascii="宋体" w:eastAsia="宋体" w:hAnsi="宋体"/>
          <w:sz w:val="24"/>
          <w:szCs w:val="24"/>
        </w:rPr>
        <w:t>机构。</w:t>
      </w:r>
    </w:p>
    <w:p w:rsidR="001A7438" w:rsidRDefault="00534921">
      <w:pPr>
        <w:pStyle w:val="af4"/>
        <w:numPr>
          <w:ilvl w:val="0"/>
          <w:numId w:val="2"/>
        </w:numPr>
        <w:tabs>
          <w:tab w:val="left" w:pos="709"/>
          <w:tab w:val="left" w:pos="851"/>
        </w:tabs>
        <w:topLinePunct/>
        <w:spacing w:line="500" w:lineRule="exact"/>
        <w:ind w:left="0" w:firstLineChars="0" w:firstLine="480"/>
        <w:rPr>
          <w:rFonts w:ascii="宋体" w:eastAsia="宋体" w:hAnsi="宋体"/>
          <w:sz w:val="24"/>
          <w:szCs w:val="24"/>
        </w:rPr>
      </w:pPr>
      <w:r>
        <w:rPr>
          <w:rFonts w:ascii="宋体" w:eastAsia="宋体" w:hAnsi="宋体" w:hint="eastAsia"/>
          <w:sz w:val="24"/>
          <w:szCs w:val="24"/>
        </w:rPr>
        <w:t>第5.3.3条“集中管理”充分考虑了发电集团现有的分级管理结构、多种电源类型和专业化服务资源，指出发电集团可设立或明确集团公司</w:t>
      </w:r>
      <w:proofErr w:type="gramStart"/>
      <w:r>
        <w:rPr>
          <w:rFonts w:ascii="宋体" w:eastAsia="宋体" w:hAnsi="宋体" w:hint="eastAsia"/>
          <w:sz w:val="24"/>
          <w:szCs w:val="24"/>
        </w:rPr>
        <w:t>碳交易</w:t>
      </w:r>
      <w:proofErr w:type="gramEnd"/>
      <w:r>
        <w:rPr>
          <w:rFonts w:ascii="宋体" w:eastAsia="宋体" w:hAnsi="宋体" w:hint="eastAsia"/>
          <w:sz w:val="24"/>
          <w:szCs w:val="24"/>
        </w:rPr>
        <w:t>管理机构、子分公司、基层企业（</w:t>
      </w:r>
      <w:proofErr w:type="gramStart"/>
      <w:r>
        <w:rPr>
          <w:rFonts w:ascii="宋体" w:eastAsia="宋体" w:hAnsi="宋体" w:hint="eastAsia"/>
          <w:sz w:val="24"/>
          <w:szCs w:val="24"/>
        </w:rPr>
        <w:t>含控</w:t>
      </w:r>
      <w:proofErr w:type="gramEnd"/>
      <w:r>
        <w:rPr>
          <w:rFonts w:ascii="宋体" w:eastAsia="宋体" w:hAnsi="宋体" w:hint="eastAsia"/>
          <w:sz w:val="24"/>
          <w:szCs w:val="24"/>
        </w:rPr>
        <w:t>排企业和减排企业）三个管理层级，同时委托专业化</w:t>
      </w:r>
      <w:proofErr w:type="gramStart"/>
      <w:r>
        <w:rPr>
          <w:rFonts w:ascii="宋体" w:eastAsia="宋体" w:hAnsi="宋体" w:hint="eastAsia"/>
          <w:sz w:val="24"/>
          <w:szCs w:val="24"/>
        </w:rPr>
        <w:t>碳资</w:t>
      </w:r>
      <w:proofErr w:type="gramEnd"/>
      <w:r>
        <w:rPr>
          <w:rFonts w:ascii="宋体" w:eastAsia="宋体" w:hAnsi="宋体" w:hint="eastAsia"/>
          <w:sz w:val="24"/>
          <w:szCs w:val="24"/>
        </w:rPr>
        <w:t>产管理公司开展相关业务。</w:t>
      </w:r>
    </w:p>
    <w:p w:rsidR="001A7438" w:rsidRDefault="00534921">
      <w:pPr>
        <w:pStyle w:val="2"/>
        <w:spacing w:before="120" w:after="120" w:line="240" w:lineRule="auto"/>
        <w:ind w:left="576" w:hanging="576"/>
        <w:rPr>
          <w:rFonts w:ascii="Times New Roman" w:hAnsi="Times New Roman"/>
          <w:bCs w:val="0"/>
          <w:sz w:val="30"/>
          <w:szCs w:val="20"/>
          <w:lang w:val="zh-CN"/>
        </w:rPr>
      </w:pPr>
      <w:bookmarkStart w:id="30" w:name="_Toc531159902"/>
      <w:r>
        <w:rPr>
          <w:rFonts w:ascii="Times New Roman" w:hAnsi="Times New Roman" w:hint="eastAsia"/>
          <w:bCs w:val="0"/>
          <w:sz w:val="30"/>
          <w:szCs w:val="20"/>
          <w:lang w:val="zh-CN"/>
        </w:rPr>
        <w:t>9.5</w:t>
      </w:r>
      <w:proofErr w:type="gramStart"/>
      <w:r>
        <w:rPr>
          <w:rFonts w:ascii="Times New Roman" w:hAnsi="Times New Roman" w:hint="eastAsia"/>
          <w:bCs w:val="0"/>
          <w:sz w:val="30"/>
          <w:szCs w:val="20"/>
          <w:lang w:val="zh-CN"/>
        </w:rPr>
        <w:t>碳排放权</w:t>
      </w:r>
      <w:proofErr w:type="gramEnd"/>
      <w:r>
        <w:rPr>
          <w:rFonts w:ascii="Times New Roman" w:hAnsi="Times New Roman" w:hint="eastAsia"/>
          <w:bCs w:val="0"/>
          <w:sz w:val="30"/>
          <w:szCs w:val="20"/>
          <w:lang w:val="zh-CN"/>
        </w:rPr>
        <w:t>交易工作实施</w:t>
      </w:r>
      <w:bookmarkEnd w:id="30"/>
    </w:p>
    <w:p w:rsidR="001A7438" w:rsidRDefault="00534921">
      <w:pPr>
        <w:pStyle w:val="af4"/>
        <w:numPr>
          <w:ilvl w:val="1"/>
          <w:numId w:val="3"/>
        </w:numPr>
        <w:topLinePunct/>
        <w:spacing w:line="500" w:lineRule="exact"/>
        <w:ind w:left="0" w:firstLine="480"/>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6.2.1.1</w:t>
      </w:r>
      <w:r>
        <w:rPr>
          <w:rFonts w:ascii="宋体" w:eastAsia="宋体" w:hAnsi="宋体" w:hint="eastAsia"/>
          <w:sz w:val="24"/>
          <w:szCs w:val="24"/>
        </w:rPr>
        <w:t>条“监测对象”指出“发电企业应识别并监测其核算边界内的温室气体排放”。此处的“核算边界”来自于</w:t>
      </w:r>
      <w:r>
        <w:rPr>
          <w:rFonts w:ascii="宋体" w:eastAsia="宋体" w:hAnsi="宋体"/>
          <w:sz w:val="24"/>
          <w:szCs w:val="24"/>
        </w:rPr>
        <w:t>GB/T 32150</w:t>
      </w:r>
      <w:r>
        <w:rPr>
          <w:rFonts w:ascii="宋体" w:eastAsia="宋体" w:hAnsi="宋体" w:hint="eastAsia"/>
          <w:sz w:val="24"/>
          <w:szCs w:val="24"/>
        </w:rPr>
        <w:t>，是指“与报告主体的生产经营活动相关的温室气体排放的范围”，其中的“报告主体”是指“具有温室气体排放行为的法人企业或视同法人的独立核算单位”。</w:t>
      </w:r>
    </w:p>
    <w:p w:rsidR="001A7438" w:rsidRDefault="00534921">
      <w:pPr>
        <w:pStyle w:val="af4"/>
        <w:numPr>
          <w:ilvl w:val="1"/>
          <w:numId w:val="3"/>
        </w:numPr>
        <w:topLinePunct/>
        <w:spacing w:line="500" w:lineRule="exact"/>
        <w:ind w:left="0" w:firstLine="480"/>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6.2.1.3条</w:t>
      </w:r>
      <w:r>
        <w:rPr>
          <w:rFonts w:ascii="宋体" w:eastAsia="宋体" w:hAnsi="宋体" w:hint="eastAsia"/>
          <w:sz w:val="24"/>
          <w:szCs w:val="24"/>
        </w:rPr>
        <w:t>“监测方法”</w:t>
      </w:r>
      <w:r>
        <w:rPr>
          <w:rFonts w:ascii="宋体" w:eastAsia="宋体" w:hAnsi="宋体"/>
          <w:sz w:val="24"/>
          <w:szCs w:val="24"/>
        </w:rPr>
        <w:t>提供了</w:t>
      </w:r>
      <w:r>
        <w:rPr>
          <w:rFonts w:ascii="宋体" w:eastAsia="宋体" w:hAnsi="宋体" w:hint="eastAsia"/>
          <w:sz w:val="24"/>
          <w:szCs w:val="24"/>
        </w:rPr>
        <w:t>“排放因子法”和</w:t>
      </w:r>
      <w:r>
        <w:rPr>
          <w:rFonts w:ascii="宋体" w:eastAsia="宋体" w:hAnsi="宋体"/>
          <w:sz w:val="24"/>
          <w:szCs w:val="24"/>
        </w:rPr>
        <w:t>“在线监测法”</w:t>
      </w:r>
      <w:r>
        <w:rPr>
          <w:rFonts w:ascii="宋体" w:eastAsia="宋体" w:hAnsi="宋体" w:hint="eastAsia"/>
          <w:sz w:val="24"/>
          <w:szCs w:val="24"/>
        </w:rPr>
        <w:t>两种二氧化碳排放量监测方法，后者</w:t>
      </w:r>
      <w:r>
        <w:rPr>
          <w:rFonts w:ascii="宋体" w:eastAsia="宋体" w:hAnsi="宋体"/>
          <w:sz w:val="24"/>
          <w:szCs w:val="24"/>
        </w:rPr>
        <w:t>尚未被</w:t>
      </w:r>
      <w:r>
        <w:rPr>
          <w:rFonts w:ascii="宋体" w:eastAsia="宋体" w:hAnsi="宋体" w:hint="eastAsia"/>
          <w:sz w:val="24"/>
          <w:szCs w:val="24"/>
        </w:rPr>
        <w:t>我国</w:t>
      </w:r>
      <w:proofErr w:type="gramStart"/>
      <w:r>
        <w:rPr>
          <w:rFonts w:ascii="宋体" w:eastAsia="宋体" w:hAnsi="宋体"/>
          <w:sz w:val="24"/>
          <w:szCs w:val="24"/>
        </w:rPr>
        <w:t>碳交易</w:t>
      </w:r>
      <w:proofErr w:type="gramEnd"/>
      <w:r>
        <w:rPr>
          <w:rFonts w:ascii="宋体" w:eastAsia="宋体" w:hAnsi="宋体"/>
          <w:sz w:val="24"/>
          <w:szCs w:val="24"/>
        </w:rPr>
        <w:t>主管部门</w:t>
      </w:r>
      <w:r>
        <w:rPr>
          <w:rFonts w:ascii="宋体" w:eastAsia="宋体" w:hAnsi="宋体" w:hint="eastAsia"/>
          <w:sz w:val="24"/>
          <w:szCs w:val="24"/>
        </w:rPr>
        <w:t>批准</w:t>
      </w:r>
      <w:proofErr w:type="gramStart"/>
      <w:r>
        <w:rPr>
          <w:rFonts w:ascii="宋体" w:eastAsia="宋体" w:hAnsi="宋体" w:hint="eastAsia"/>
          <w:sz w:val="24"/>
          <w:szCs w:val="24"/>
        </w:rPr>
        <w:t>用于碳排放</w:t>
      </w:r>
      <w:proofErr w:type="gramEnd"/>
      <w:r>
        <w:rPr>
          <w:rFonts w:ascii="宋体" w:eastAsia="宋体" w:hAnsi="宋体" w:hint="eastAsia"/>
          <w:sz w:val="24"/>
          <w:szCs w:val="24"/>
        </w:rPr>
        <w:t>权交易</w:t>
      </w:r>
      <w:r>
        <w:rPr>
          <w:rFonts w:ascii="宋体" w:eastAsia="宋体" w:hAnsi="宋体"/>
          <w:sz w:val="24"/>
          <w:szCs w:val="24"/>
        </w:rPr>
        <w:t>，但该方法可直接监测二氧化碳排放量，数据客观且监测过程简洁透明。美国燃煤电厂通过排放连续监测系统（CEMS）监测二氧化碳排放</w:t>
      </w:r>
      <w:r>
        <w:rPr>
          <w:rFonts w:ascii="宋体" w:eastAsia="宋体" w:hAnsi="宋体" w:hint="eastAsia"/>
          <w:sz w:val="24"/>
          <w:szCs w:val="24"/>
        </w:rPr>
        <w:t>量</w:t>
      </w:r>
      <w:r>
        <w:rPr>
          <w:rFonts w:ascii="宋体" w:eastAsia="宋体" w:hAnsi="宋体"/>
          <w:sz w:val="24"/>
          <w:szCs w:val="24"/>
        </w:rPr>
        <w:t>已经是普遍做法</w:t>
      </w:r>
      <w:r>
        <w:rPr>
          <w:rFonts w:ascii="宋体" w:eastAsia="宋体" w:hAnsi="宋体" w:hint="eastAsia"/>
          <w:sz w:val="24"/>
          <w:szCs w:val="24"/>
        </w:rPr>
        <w:t>，</w:t>
      </w:r>
      <w:r>
        <w:rPr>
          <w:rFonts w:ascii="宋体" w:eastAsia="宋体" w:hAnsi="宋体"/>
          <w:sz w:val="24"/>
          <w:szCs w:val="24"/>
        </w:rPr>
        <w:t>欧盟把</w:t>
      </w:r>
      <w:r>
        <w:rPr>
          <w:rFonts w:ascii="宋体" w:eastAsia="宋体" w:hAnsi="宋体" w:hint="eastAsia"/>
          <w:sz w:val="24"/>
          <w:szCs w:val="24"/>
        </w:rPr>
        <w:t>排放因子法</w:t>
      </w:r>
      <w:r>
        <w:rPr>
          <w:rFonts w:ascii="宋体" w:eastAsia="宋体" w:hAnsi="宋体"/>
          <w:sz w:val="24"/>
          <w:szCs w:val="24"/>
        </w:rPr>
        <w:t>和</w:t>
      </w:r>
      <w:r>
        <w:rPr>
          <w:rFonts w:ascii="宋体" w:eastAsia="宋体" w:hAnsi="宋体" w:hint="eastAsia"/>
          <w:sz w:val="24"/>
          <w:szCs w:val="24"/>
        </w:rPr>
        <w:t>在线监测法</w:t>
      </w:r>
      <w:r>
        <w:rPr>
          <w:rFonts w:ascii="宋体" w:eastAsia="宋体" w:hAnsi="宋体"/>
          <w:sz w:val="24"/>
          <w:szCs w:val="24"/>
        </w:rPr>
        <w:t>放在同等地位。</w:t>
      </w:r>
      <w:r>
        <w:rPr>
          <w:rFonts w:ascii="宋体" w:eastAsia="宋体" w:hAnsi="宋体" w:hint="eastAsia"/>
          <w:sz w:val="24"/>
          <w:szCs w:val="24"/>
        </w:rPr>
        <w:t>因此，本</w:t>
      </w:r>
      <w:r>
        <w:rPr>
          <w:rFonts w:ascii="宋体" w:eastAsia="宋体" w:hAnsi="宋体"/>
          <w:sz w:val="24"/>
          <w:szCs w:val="24"/>
        </w:rPr>
        <w:t>指南前瞻性</w:t>
      </w:r>
      <w:r>
        <w:rPr>
          <w:rFonts w:ascii="宋体" w:eastAsia="宋体" w:hAnsi="宋体" w:hint="eastAsia"/>
          <w:sz w:val="24"/>
          <w:szCs w:val="24"/>
        </w:rPr>
        <w:t>地</w:t>
      </w:r>
      <w:r>
        <w:rPr>
          <w:rFonts w:ascii="宋体" w:eastAsia="宋体" w:hAnsi="宋体"/>
          <w:sz w:val="24"/>
          <w:szCs w:val="24"/>
        </w:rPr>
        <w:t>加入了在线监测法</w:t>
      </w:r>
      <w:r>
        <w:rPr>
          <w:rFonts w:ascii="宋体" w:eastAsia="宋体" w:hAnsi="宋体" w:hint="eastAsia"/>
          <w:sz w:val="24"/>
          <w:szCs w:val="24"/>
        </w:rPr>
        <w:t>相关内容</w:t>
      </w:r>
      <w:r>
        <w:rPr>
          <w:rFonts w:ascii="宋体" w:eastAsia="宋体" w:hAnsi="宋体"/>
          <w:sz w:val="24"/>
          <w:szCs w:val="24"/>
        </w:rPr>
        <w:t>，并在附录中给出了计算</w:t>
      </w:r>
      <w:r>
        <w:rPr>
          <w:rFonts w:ascii="宋体" w:eastAsia="宋体" w:hAnsi="宋体" w:hint="eastAsia"/>
          <w:sz w:val="24"/>
          <w:szCs w:val="24"/>
        </w:rPr>
        <w:t>方法</w:t>
      </w:r>
      <w:r>
        <w:rPr>
          <w:rFonts w:ascii="宋体" w:eastAsia="宋体" w:hAnsi="宋体"/>
          <w:sz w:val="24"/>
          <w:szCs w:val="24"/>
        </w:rPr>
        <w:t>，为发电企业开展该项工作</w:t>
      </w:r>
      <w:r>
        <w:rPr>
          <w:rFonts w:ascii="宋体" w:eastAsia="宋体" w:hAnsi="宋体"/>
          <w:sz w:val="24"/>
          <w:szCs w:val="24"/>
        </w:rPr>
        <w:lastRenderedPageBreak/>
        <w:t>提供参考。</w:t>
      </w:r>
    </w:p>
    <w:p w:rsidR="001A7438" w:rsidRDefault="00534921">
      <w:pPr>
        <w:pStyle w:val="af4"/>
        <w:numPr>
          <w:ilvl w:val="1"/>
          <w:numId w:val="3"/>
        </w:numPr>
        <w:topLinePunct/>
        <w:spacing w:line="500" w:lineRule="exact"/>
        <w:ind w:left="0" w:firstLine="480"/>
        <w:rPr>
          <w:rFonts w:ascii="宋体" w:eastAsia="宋体" w:hAnsi="宋体"/>
          <w:sz w:val="24"/>
          <w:szCs w:val="24"/>
        </w:rPr>
      </w:pPr>
      <w:r>
        <w:rPr>
          <w:rFonts w:ascii="宋体" w:eastAsia="宋体" w:hAnsi="宋体" w:hint="eastAsia"/>
          <w:sz w:val="24"/>
          <w:szCs w:val="24"/>
        </w:rPr>
        <w:t>《国家发展改革委办公厅关于做好</w:t>
      </w:r>
      <w:r>
        <w:rPr>
          <w:rFonts w:ascii="宋体" w:eastAsia="宋体" w:hAnsi="宋体"/>
          <w:sz w:val="24"/>
          <w:szCs w:val="24"/>
        </w:rPr>
        <w:t>2016、2017年度碳排放报告与核查及排放监测计划制定工作的通知</w:t>
      </w:r>
      <w:r>
        <w:rPr>
          <w:rFonts w:ascii="宋体" w:eastAsia="宋体" w:hAnsi="宋体" w:hint="eastAsia"/>
          <w:sz w:val="24"/>
          <w:szCs w:val="24"/>
        </w:rPr>
        <w:t>》（发改办气候〔</w:t>
      </w:r>
      <w:r>
        <w:rPr>
          <w:rFonts w:ascii="宋体" w:eastAsia="宋体" w:hAnsi="宋体"/>
          <w:sz w:val="24"/>
          <w:szCs w:val="24"/>
        </w:rPr>
        <w:t>2017〕1989号</w:t>
      </w:r>
      <w:r>
        <w:rPr>
          <w:rFonts w:ascii="宋体" w:eastAsia="宋体" w:hAnsi="宋体" w:hint="eastAsia"/>
          <w:sz w:val="24"/>
          <w:szCs w:val="24"/>
        </w:rPr>
        <w:t>）的附件二《</w:t>
      </w:r>
      <w:r>
        <w:rPr>
          <w:rFonts w:ascii="宋体" w:eastAsia="宋体" w:hAnsi="宋体"/>
          <w:sz w:val="24"/>
          <w:szCs w:val="24"/>
        </w:rPr>
        <w:t>2016（2017）年碳排放补充数据核算报告模板</w:t>
      </w:r>
      <w:r>
        <w:rPr>
          <w:rFonts w:ascii="宋体" w:eastAsia="宋体" w:hAnsi="宋体" w:hint="eastAsia"/>
          <w:sz w:val="24"/>
          <w:szCs w:val="24"/>
        </w:rPr>
        <w:t>》提到，“</w:t>
      </w:r>
      <w:r>
        <w:rPr>
          <w:rFonts w:ascii="宋体" w:eastAsia="宋体" w:hAnsi="宋体"/>
          <w:sz w:val="24"/>
          <w:szCs w:val="24"/>
        </w:rPr>
        <w:t>从2018年起，对于燃煤单位热值含碳量和碳氧化率缺省值将采用高限值</w:t>
      </w:r>
      <w:r>
        <w:rPr>
          <w:rFonts w:ascii="宋体" w:eastAsia="宋体" w:hAnsi="宋体" w:hint="eastAsia"/>
          <w:sz w:val="24"/>
          <w:szCs w:val="24"/>
        </w:rPr>
        <w:t>”</w:t>
      </w:r>
      <w:r>
        <w:rPr>
          <w:rFonts w:ascii="宋体" w:eastAsia="宋体" w:hAnsi="宋体"/>
          <w:sz w:val="24"/>
          <w:szCs w:val="24"/>
        </w:rPr>
        <w:t>,</w:t>
      </w:r>
      <w:r>
        <w:rPr>
          <w:rFonts w:ascii="宋体" w:eastAsia="宋体" w:hAnsi="宋体" w:hint="eastAsia"/>
          <w:sz w:val="24"/>
          <w:szCs w:val="24"/>
        </w:rPr>
        <w:t>如采用缺省值计算，可能</w:t>
      </w:r>
      <w:r>
        <w:rPr>
          <w:rFonts w:ascii="宋体" w:eastAsia="宋体" w:hAnsi="宋体"/>
          <w:sz w:val="24"/>
          <w:szCs w:val="24"/>
        </w:rPr>
        <w:t>会导致</w:t>
      </w:r>
      <w:r>
        <w:rPr>
          <w:rFonts w:ascii="宋体" w:eastAsia="宋体" w:hAnsi="宋体" w:hint="eastAsia"/>
          <w:sz w:val="24"/>
          <w:szCs w:val="24"/>
        </w:rPr>
        <w:t>企业排放量比实际值偏大，增加企业履约成本。</w:t>
      </w:r>
      <w:r>
        <w:rPr>
          <w:rFonts w:ascii="宋体" w:eastAsia="宋体" w:hAnsi="宋体"/>
          <w:sz w:val="24"/>
          <w:szCs w:val="24"/>
        </w:rPr>
        <w:t>《</w:t>
      </w:r>
      <w:r>
        <w:rPr>
          <w:rFonts w:ascii="宋体" w:eastAsia="宋体" w:hAnsi="宋体" w:hint="eastAsia"/>
          <w:sz w:val="24"/>
          <w:szCs w:val="24"/>
        </w:rPr>
        <w:t>中国发电企业温室气体排放核算方法与报告指南</w:t>
      </w:r>
      <w:r>
        <w:rPr>
          <w:rFonts w:ascii="宋体" w:eastAsia="宋体" w:hAnsi="宋体"/>
          <w:sz w:val="24"/>
          <w:szCs w:val="24"/>
        </w:rPr>
        <w:t>》</w:t>
      </w:r>
      <w:r>
        <w:rPr>
          <w:rFonts w:ascii="宋体" w:eastAsia="宋体" w:hAnsi="宋体" w:hint="eastAsia"/>
          <w:sz w:val="24"/>
          <w:szCs w:val="24"/>
        </w:rPr>
        <w:t>（以下简称“《</w:t>
      </w:r>
      <w:r>
        <w:rPr>
          <w:rFonts w:ascii="宋体" w:eastAsia="宋体" w:hAnsi="宋体"/>
          <w:sz w:val="24"/>
          <w:szCs w:val="24"/>
        </w:rPr>
        <w:t>核算报告指南</w:t>
      </w:r>
      <w:r>
        <w:rPr>
          <w:rFonts w:ascii="宋体" w:eastAsia="宋体" w:hAnsi="宋体" w:hint="eastAsia"/>
          <w:sz w:val="24"/>
          <w:szCs w:val="24"/>
        </w:rPr>
        <w:t>》”）要求实测燃煤的单位热值含碳量，但发电企业</w:t>
      </w:r>
      <w:r>
        <w:rPr>
          <w:rFonts w:ascii="宋体" w:eastAsia="宋体" w:hAnsi="宋体"/>
          <w:sz w:val="24"/>
          <w:szCs w:val="24"/>
        </w:rPr>
        <w:t>在执行中</w:t>
      </w:r>
      <w:r>
        <w:rPr>
          <w:rFonts w:ascii="宋体" w:eastAsia="宋体" w:hAnsi="宋体" w:hint="eastAsia"/>
          <w:sz w:val="24"/>
          <w:szCs w:val="24"/>
        </w:rPr>
        <w:t>遇到了一些</w:t>
      </w:r>
      <w:r>
        <w:rPr>
          <w:rFonts w:ascii="宋体" w:eastAsia="宋体" w:hAnsi="宋体"/>
          <w:sz w:val="24"/>
          <w:szCs w:val="24"/>
        </w:rPr>
        <w:t>问题</w:t>
      </w:r>
      <w:r>
        <w:rPr>
          <w:rFonts w:ascii="宋体" w:eastAsia="宋体" w:hAnsi="宋体" w:hint="eastAsia"/>
          <w:sz w:val="24"/>
          <w:szCs w:val="24"/>
        </w:rPr>
        <w:t>：①《核算报告指南》要求企业按照</w:t>
      </w:r>
      <w:r>
        <w:rPr>
          <w:rFonts w:ascii="宋体" w:eastAsia="宋体" w:hAnsi="宋体"/>
          <w:sz w:val="24"/>
          <w:szCs w:val="24"/>
        </w:rPr>
        <w:t>GB/T 476</w:t>
      </w:r>
      <w:r>
        <w:rPr>
          <w:rFonts w:ascii="宋体" w:eastAsia="宋体" w:hAnsi="宋体" w:hint="eastAsia"/>
          <w:sz w:val="24"/>
          <w:szCs w:val="24"/>
        </w:rPr>
        <w:t>开展燃煤元素碳含量实测，一些发电企业实际执行的是</w:t>
      </w:r>
      <w:r>
        <w:rPr>
          <w:rFonts w:ascii="宋体" w:eastAsia="宋体" w:hAnsi="宋体"/>
          <w:sz w:val="24"/>
          <w:szCs w:val="24"/>
        </w:rPr>
        <w:t>GB/T 30733或DL/T 568</w:t>
      </w:r>
      <w:r>
        <w:rPr>
          <w:rFonts w:ascii="宋体" w:eastAsia="宋体" w:hAnsi="宋体" w:hint="eastAsia"/>
          <w:sz w:val="24"/>
          <w:szCs w:val="24"/>
        </w:rPr>
        <w:t>。②发电企业外委测量燃煤元素碳含量的结果通常为空干基数据，企业在换算为收到基数据时容易出现偏差。因此，本指南第</w:t>
      </w:r>
      <w:r>
        <w:rPr>
          <w:rFonts w:ascii="宋体" w:eastAsia="宋体" w:hAnsi="宋体"/>
          <w:sz w:val="24"/>
          <w:szCs w:val="24"/>
        </w:rPr>
        <w:t>6.2.1.4.2条对单位热值含碳量检测工作</w:t>
      </w:r>
      <w:r>
        <w:rPr>
          <w:rFonts w:ascii="宋体" w:eastAsia="宋体" w:hAnsi="宋体" w:hint="eastAsia"/>
          <w:sz w:val="24"/>
          <w:szCs w:val="24"/>
        </w:rPr>
        <w:t>给出以下两点建议：①</w:t>
      </w:r>
      <w:r>
        <w:rPr>
          <w:rFonts w:ascii="宋体" w:eastAsia="宋体" w:hAnsi="宋体"/>
          <w:sz w:val="24"/>
          <w:szCs w:val="24"/>
        </w:rPr>
        <w:t>GB/T 476</w:t>
      </w:r>
      <w:r>
        <w:rPr>
          <w:rFonts w:ascii="宋体" w:eastAsia="宋体" w:hAnsi="宋体" w:hint="eastAsia"/>
          <w:sz w:val="24"/>
          <w:szCs w:val="24"/>
        </w:rPr>
        <w:t>发布于</w:t>
      </w:r>
      <w:r>
        <w:rPr>
          <w:rFonts w:ascii="宋体" w:eastAsia="宋体" w:hAnsi="宋体"/>
          <w:sz w:val="24"/>
          <w:szCs w:val="24"/>
        </w:rPr>
        <w:t>2008年，测量原理是吸收质量</w:t>
      </w:r>
      <w:r>
        <w:rPr>
          <w:rFonts w:ascii="宋体" w:eastAsia="宋体" w:hAnsi="宋体" w:hint="eastAsia"/>
          <w:sz w:val="24"/>
          <w:szCs w:val="24"/>
        </w:rPr>
        <w:t>法，而</w:t>
      </w:r>
      <w:r>
        <w:rPr>
          <w:rFonts w:ascii="宋体" w:eastAsia="宋体" w:hAnsi="宋体"/>
          <w:sz w:val="24"/>
          <w:szCs w:val="24"/>
        </w:rPr>
        <w:t>DL/T 568</w:t>
      </w:r>
      <w:r>
        <w:rPr>
          <w:rFonts w:ascii="宋体" w:eastAsia="宋体" w:hAnsi="宋体" w:hint="eastAsia"/>
          <w:sz w:val="24"/>
          <w:szCs w:val="24"/>
        </w:rPr>
        <w:t>和</w:t>
      </w:r>
      <w:r>
        <w:rPr>
          <w:rFonts w:ascii="宋体" w:eastAsia="宋体" w:hAnsi="宋体"/>
          <w:sz w:val="24"/>
          <w:szCs w:val="24"/>
        </w:rPr>
        <w:t>GB/T 30733</w:t>
      </w:r>
      <w:r>
        <w:rPr>
          <w:rFonts w:ascii="宋体" w:eastAsia="宋体" w:hAnsi="宋体" w:hint="eastAsia"/>
          <w:sz w:val="24"/>
          <w:szCs w:val="24"/>
        </w:rPr>
        <w:t>分别于</w:t>
      </w:r>
      <w:r>
        <w:rPr>
          <w:rFonts w:ascii="宋体" w:eastAsia="宋体" w:hAnsi="宋体"/>
          <w:sz w:val="24"/>
          <w:szCs w:val="24"/>
        </w:rPr>
        <w:t>2013、2014年发布，采用红外色谱法，新标准的测量原理更直接。考虑到三个标准均为国家正式标准，</w:t>
      </w:r>
      <w:r>
        <w:rPr>
          <w:rFonts w:ascii="宋体" w:eastAsia="宋体" w:hAnsi="宋体" w:hint="eastAsia"/>
          <w:sz w:val="24"/>
          <w:szCs w:val="24"/>
        </w:rPr>
        <w:t>检测</w:t>
      </w:r>
      <w:r>
        <w:rPr>
          <w:rFonts w:ascii="宋体" w:eastAsia="宋体" w:hAnsi="宋体"/>
          <w:sz w:val="24"/>
          <w:szCs w:val="24"/>
        </w:rPr>
        <w:t>结果同样可信，因此</w:t>
      </w:r>
      <w:r>
        <w:rPr>
          <w:rFonts w:ascii="宋体" w:eastAsia="宋体" w:hAnsi="宋体" w:hint="eastAsia"/>
          <w:sz w:val="24"/>
          <w:szCs w:val="24"/>
        </w:rPr>
        <w:t>本指南提出企业按照</w:t>
      </w:r>
      <w:r>
        <w:rPr>
          <w:rFonts w:ascii="宋体" w:eastAsia="宋体" w:hAnsi="宋体"/>
          <w:sz w:val="24"/>
          <w:szCs w:val="24"/>
        </w:rPr>
        <w:t>GB/T 476、DL/T 568或GB/T 30733</w:t>
      </w:r>
      <w:r>
        <w:rPr>
          <w:rFonts w:ascii="宋体" w:eastAsia="宋体" w:hAnsi="宋体" w:hint="eastAsia"/>
          <w:sz w:val="24"/>
          <w:szCs w:val="24"/>
        </w:rPr>
        <w:t>开展元素碳含量检测均可。②考虑到燃煤干燥基检测结果不受时间、地点的影响，本指南要求单位热值含碳量月度检测报告宜包含干燥基元素碳含量、干燥基元素氢含量、干燥基高位发热量数据。发电企业可根据上述干燥基数据和入炉煤每月全</w:t>
      </w:r>
      <w:proofErr w:type="gramStart"/>
      <w:r>
        <w:rPr>
          <w:rFonts w:ascii="宋体" w:eastAsia="宋体" w:hAnsi="宋体" w:hint="eastAsia"/>
          <w:sz w:val="24"/>
          <w:szCs w:val="24"/>
        </w:rPr>
        <w:t>水份</w:t>
      </w:r>
      <w:proofErr w:type="gramEnd"/>
      <w:r>
        <w:rPr>
          <w:rFonts w:ascii="宋体" w:eastAsia="宋体" w:hAnsi="宋体" w:hint="eastAsia"/>
          <w:sz w:val="24"/>
          <w:szCs w:val="24"/>
        </w:rPr>
        <w:t>数据，按照</w:t>
      </w:r>
      <w:r>
        <w:rPr>
          <w:rFonts w:ascii="宋体" w:eastAsia="宋体" w:hAnsi="宋体"/>
          <w:sz w:val="24"/>
          <w:szCs w:val="24"/>
        </w:rPr>
        <w:t>GB/T 213方法计算</w:t>
      </w:r>
      <w:r>
        <w:rPr>
          <w:rFonts w:ascii="宋体" w:eastAsia="宋体" w:hAnsi="宋体" w:hint="eastAsia"/>
          <w:sz w:val="24"/>
          <w:szCs w:val="24"/>
        </w:rPr>
        <w:t>燃煤</w:t>
      </w:r>
      <w:r>
        <w:rPr>
          <w:rFonts w:ascii="宋体" w:eastAsia="宋体" w:hAnsi="宋体"/>
          <w:sz w:val="24"/>
          <w:szCs w:val="24"/>
        </w:rPr>
        <w:t>收到基</w:t>
      </w:r>
      <w:r>
        <w:rPr>
          <w:rFonts w:ascii="宋体" w:eastAsia="宋体" w:hAnsi="宋体" w:hint="eastAsia"/>
          <w:sz w:val="24"/>
          <w:szCs w:val="24"/>
        </w:rPr>
        <w:t>元素碳含量</w:t>
      </w:r>
      <w:r>
        <w:rPr>
          <w:rFonts w:ascii="宋体" w:eastAsia="宋体" w:hAnsi="宋体"/>
          <w:sz w:val="24"/>
          <w:szCs w:val="24"/>
        </w:rPr>
        <w:t>和收到基低位发热量</w:t>
      </w:r>
      <w:r>
        <w:rPr>
          <w:rFonts w:ascii="宋体" w:eastAsia="宋体" w:hAnsi="宋体" w:hint="eastAsia"/>
          <w:sz w:val="24"/>
          <w:szCs w:val="24"/>
        </w:rPr>
        <w:t>。</w:t>
      </w:r>
    </w:p>
    <w:p w:rsidR="001A7438" w:rsidRDefault="00534921">
      <w:pPr>
        <w:topLinePunct/>
        <w:spacing w:line="500" w:lineRule="exact"/>
        <w:ind w:firstLineChars="200" w:firstLine="480"/>
        <w:rPr>
          <w:rFonts w:ascii="宋体" w:eastAsia="宋体" w:hAnsi="宋体"/>
          <w:sz w:val="24"/>
          <w:szCs w:val="24"/>
        </w:rPr>
      </w:pPr>
      <w:r>
        <w:rPr>
          <w:rFonts w:ascii="宋体" w:eastAsia="宋体" w:hAnsi="宋体" w:hint="eastAsia"/>
          <w:sz w:val="24"/>
          <w:szCs w:val="24"/>
        </w:rPr>
        <w:t>对于燃煤机组的碳氧化率，《核算报告指南》给出实测</w:t>
      </w:r>
      <w:proofErr w:type="gramStart"/>
      <w:r>
        <w:rPr>
          <w:rFonts w:ascii="宋体" w:eastAsia="宋体" w:hAnsi="宋体" w:hint="eastAsia"/>
          <w:sz w:val="24"/>
          <w:szCs w:val="24"/>
        </w:rPr>
        <w:t>值或者</w:t>
      </w:r>
      <w:proofErr w:type="gramEnd"/>
      <w:r>
        <w:rPr>
          <w:rFonts w:ascii="宋体" w:eastAsia="宋体" w:hAnsi="宋体" w:hint="eastAsia"/>
          <w:sz w:val="24"/>
          <w:szCs w:val="24"/>
        </w:rPr>
        <w:t>缺省值两种选择。发改办气候〔</w:t>
      </w:r>
      <w:r>
        <w:rPr>
          <w:rFonts w:ascii="宋体" w:eastAsia="宋体" w:hAnsi="宋体"/>
          <w:sz w:val="24"/>
          <w:szCs w:val="24"/>
        </w:rPr>
        <w:t>2017〕1989号</w:t>
      </w:r>
      <w:r>
        <w:rPr>
          <w:rFonts w:ascii="宋体" w:eastAsia="宋体" w:hAnsi="宋体" w:hint="eastAsia"/>
          <w:sz w:val="24"/>
          <w:szCs w:val="24"/>
        </w:rPr>
        <w:t>文提出“</w:t>
      </w:r>
      <w:r>
        <w:rPr>
          <w:rFonts w:ascii="宋体" w:eastAsia="宋体" w:hAnsi="宋体"/>
          <w:sz w:val="24"/>
          <w:szCs w:val="24"/>
        </w:rPr>
        <w:t>从2018年起，对于燃煤单位热值含碳量和碳氧化率缺省值将采用高限值</w:t>
      </w:r>
      <w:r>
        <w:rPr>
          <w:rFonts w:ascii="宋体" w:eastAsia="宋体" w:hAnsi="宋体" w:hint="eastAsia"/>
          <w:sz w:val="24"/>
          <w:szCs w:val="24"/>
        </w:rPr>
        <w:t>”，可能会造成排放量增加。燃煤机组在非经济负荷工况下运行时，锅炉效率会偏离设计值，碳氧化率对排放量计算的影响不容忽视。但是，开展碳氧化率实测需要统计灰、渣产量及其含碳量，会增加发电企业的工作投入。因此，本指南建议发电企业宜根据自身情况选择相应的方法。</w:t>
      </w:r>
    </w:p>
    <w:p w:rsidR="001A7438" w:rsidRDefault="00534921">
      <w:pPr>
        <w:pStyle w:val="af4"/>
        <w:numPr>
          <w:ilvl w:val="1"/>
          <w:numId w:val="3"/>
        </w:numPr>
        <w:topLinePunct/>
        <w:spacing w:line="500" w:lineRule="exact"/>
        <w:ind w:left="0" w:firstLine="480"/>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6.2.3</w:t>
      </w:r>
      <w:r>
        <w:rPr>
          <w:rFonts w:ascii="宋体" w:eastAsia="宋体" w:hAnsi="宋体" w:hint="eastAsia"/>
          <w:sz w:val="24"/>
          <w:szCs w:val="24"/>
        </w:rPr>
        <w:t>条“配合</w:t>
      </w:r>
      <w:r>
        <w:rPr>
          <w:rFonts w:ascii="宋体" w:eastAsia="宋体" w:hAnsi="宋体"/>
          <w:sz w:val="24"/>
          <w:szCs w:val="24"/>
        </w:rPr>
        <w:t>第三方核查</w:t>
      </w:r>
      <w:r>
        <w:rPr>
          <w:rFonts w:ascii="宋体" w:eastAsia="宋体" w:hAnsi="宋体" w:hint="eastAsia"/>
          <w:sz w:val="24"/>
          <w:szCs w:val="24"/>
        </w:rPr>
        <w:t>”</w:t>
      </w:r>
      <w:r>
        <w:rPr>
          <w:rFonts w:ascii="宋体" w:eastAsia="宋体" w:hAnsi="宋体"/>
          <w:sz w:val="24"/>
          <w:szCs w:val="24"/>
        </w:rPr>
        <w:t>从发电企业配合</w:t>
      </w:r>
      <w:r>
        <w:rPr>
          <w:rFonts w:ascii="宋体" w:eastAsia="宋体" w:hAnsi="宋体" w:hint="eastAsia"/>
          <w:sz w:val="24"/>
          <w:szCs w:val="24"/>
        </w:rPr>
        <w:t>第三方</w:t>
      </w:r>
      <w:r>
        <w:rPr>
          <w:rFonts w:ascii="宋体" w:eastAsia="宋体" w:hAnsi="宋体"/>
          <w:sz w:val="24"/>
          <w:szCs w:val="24"/>
        </w:rPr>
        <w:t>核查机构开展工作的角度编写，指出了发电企业配合第三方核查机构的</w:t>
      </w:r>
      <w:r>
        <w:rPr>
          <w:rFonts w:ascii="宋体" w:eastAsia="宋体" w:hAnsi="宋体" w:hint="eastAsia"/>
          <w:sz w:val="24"/>
          <w:szCs w:val="24"/>
        </w:rPr>
        <w:t>工作重点</w:t>
      </w:r>
      <w:r>
        <w:rPr>
          <w:rFonts w:ascii="宋体" w:eastAsia="宋体" w:hAnsi="宋体"/>
          <w:sz w:val="24"/>
          <w:szCs w:val="24"/>
        </w:rPr>
        <w:t>，同时强调</w:t>
      </w:r>
      <w:r>
        <w:rPr>
          <w:rFonts w:ascii="宋体" w:eastAsia="宋体" w:hAnsi="宋体"/>
          <w:sz w:val="24"/>
          <w:szCs w:val="24"/>
        </w:rPr>
        <w:lastRenderedPageBreak/>
        <w:t>企业在配合第三方核查工作中应合</w:t>
      </w:r>
      <w:proofErr w:type="gramStart"/>
      <w:r>
        <w:rPr>
          <w:rFonts w:ascii="宋体" w:eastAsia="宋体" w:hAnsi="宋体"/>
          <w:sz w:val="24"/>
          <w:szCs w:val="24"/>
        </w:rPr>
        <w:t>理维护</w:t>
      </w:r>
      <w:proofErr w:type="gramEnd"/>
      <w:r>
        <w:rPr>
          <w:rFonts w:ascii="宋体" w:eastAsia="宋体" w:hAnsi="宋体"/>
          <w:sz w:val="24"/>
          <w:szCs w:val="24"/>
        </w:rPr>
        <w:t>自身利益。</w:t>
      </w:r>
    </w:p>
    <w:p w:rsidR="001A7438" w:rsidRDefault="00534921">
      <w:pPr>
        <w:pStyle w:val="af4"/>
        <w:numPr>
          <w:ilvl w:val="1"/>
          <w:numId w:val="3"/>
        </w:numPr>
        <w:topLinePunct/>
        <w:spacing w:line="500" w:lineRule="exact"/>
        <w:ind w:left="0" w:firstLine="480"/>
        <w:rPr>
          <w:rFonts w:ascii="宋体" w:eastAsia="宋体" w:hAnsi="宋体"/>
          <w:sz w:val="24"/>
          <w:szCs w:val="24"/>
        </w:rPr>
      </w:pPr>
      <w:r>
        <w:rPr>
          <w:rFonts w:ascii="宋体" w:eastAsia="宋体" w:hAnsi="宋体" w:hint="eastAsia"/>
          <w:sz w:val="24"/>
          <w:szCs w:val="24"/>
        </w:rPr>
        <w:t>目前全国</w:t>
      </w:r>
      <w:proofErr w:type="gramStart"/>
      <w:r>
        <w:rPr>
          <w:rFonts w:ascii="宋体" w:eastAsia="宋体" w:hAnsi="宋体" w:hint="eastAsia"/>
          <w:sz w:val="24"/>
          <w:szCs w:val="24"/>
        </w:rPr>
        <w:t>碳市场</w:t>
      </w:r>
      <w:proofErr w:type="gramEnd"/>
      <w:r>
        <w:rPr>
          <w:rFonts w:ascii="宋体" w:eastAsia="宋体" w:hAnsi="宋体" w:hint="eastAsia"/>
          <w:sz w:val="24"/>
          <w:szCs w:val="24"/>
        </w:rPr>
        <w:t>配额分配方案尚未正式发布，因此，本指南第</w:t>
      </w:r>
      <w:r>
        <w:rPr>
          <w:rFonts w:ascii="宋体" w:eastAsia="宋体" w:hAnsi="宋体"/>
          <w:sz w:val="24"/>
          <w:szCs w:val="24"/>
        </w:rPr>
        <w:t>6.3.1条“配额分配”</w:t>
      </w:r>
      <w:r>
        <w:rPr>
          <w:rFonts w:ascii="宋体" w:eastAsia="宋体" w:hAnsi="宋体" w:hint="eastAsia"/>
          <w:sz w:val="24"/>
          <w:szCs w:val="24"/>
        </w:rPr>
        <w:t>提出“发电企业按照碳交易主管部门公布的配额分配方案测算配额量”，同时提醒发电企业注意核对配额分配数量。</w:t>
      </w:r>
    </w:p>
    <w:p w:rsidR="001A7438" w:rsidRDefault="00534921">
      <w:pPr>
        <w:pStyle w:val="af4"/>
        <w:numPr>
          <w:ilvl w:val="1"/>
          <w:numId w:val="3"/>
        </w:numPr>
        <w:topLinePunct/>
        <w:spacing w:line="500" w:lineRule="exact"/>
        <w:ind w:left="0" w:firstLine="480"/>
        <w:rPr>
          <w:rFonts w:ascii="宋体" w:eastAsia="宋体" w:hAnsi="宋体"/>
          <w:sz w:val="24"/>
          <w:szCs w:val="24"/>
        </w:rPr>
      </w:pPr>
      <w:r>
        <w:rPr>
          <w:rFonts w:ascii="宋体" w:eastAsia="宋体" w:hAnsi="宋体" w:hint="eastAsia"/>
          <w:sz w:val="24"/>
          <w:szCs w:val="24"/>
        </w:rPr>
        <w:t>从试点</w:t>
      </w:r>
      <w:proofErr w:type="gramStart"/>
      <w:r>
        <w:rPr>
          <w:rFonts w:ascii="宋体" w:eastAsia="宋体" w:hAnsi="宋体" w:hint="eastAsia"/>
          <w:sz w:val="24"/>
          <w:szCs w:val="24"/>
        </w:rPr>
        <w:t>碳市场</w:t>
      </w:r>
      <w:proofErr w:type="gramEnd"/>
      <w:r>
        <w:rPr>
          <w:rFonts w:ascii="宋体" w:eastAsia="宋体" w:hAnsi="宋体" w:hint="eastAsia"/>
          <w:sz w:val="24"/>
          <w:szCs w:val="24"/>
        </w:rPr>
        <w:t>运行情况看，履约期临近时市场价格多会发生大幅波动，发电企业普遍缺乏主动应对措施。为避免</w:t>
      </w:r>
      <w:r>
        <w:rPr>
          <w:rFonts w:ascii="宋体" w:eastAsia="宋体" w:hAnsi="宋体"/>
          <w:sz w:val="24"/>
          <w:szCs w:val="24"/>
        </w:rPr>
        <w:t>履约期价格波动造成企业履约成本增加或收益减少</w:t>
      </w:r>
      <w:r>
        <w:rPr>
          <w:rFonts w:ascii="宋体" w:eastAsia="宋体" w:hAnsi="宋体" w:hint="eastAsia"/>
          <w:sz w:val="24"/>
          <w:szCs w:val="24"/>
        </w:rPr>
        <w:t>，本指南第</w:t>
      </w:r>
      <w:r>
        <w:rPr>
          <w:rFonts w:ascii="宋体" w:eastAsia="宋体" w:hAnsi="宋体"/>
          <w:sz w:val="24"/>
          <w:szCs w:val="24"/>
        </w:rPr>
        <w:t>6.3.2</w:t>
      </w:r>
      <w:r>
        <w:rPr>
          <w:rFonts w:ascii="宋体" w:eastAsia="宋体" w:hAnsi="宋体" w:hint="eastAsia"/>
          <w:sz w:val="24"/>
          <w:szCs w:val="24"/>
        </w:rPr>
        <w:t>条“</w:t>
      </w:r>
      <w:r>
        <w:rPr>
          <w:rFonts w:ascii="宋体" w:eastAsia="宋体" w:hAnsi="宋体"/>
          <w:sz w:val="24"/>
          <w:szCs w:val="24"/>
        </w:rPr>
        <w:t>盈缺测算”</w:t>
      </w:r>
      <w:r>
        <w:rPr>
          <w:rFonts w:ascii="宋体" w:eastAsia="宋体" w:hAnsi="宋体" w:hint="eastAsia"/>
          <w:sz w:val="24"/>
          <w:szCs w:val="24"/>
        </w:rPr>
        <w:t>提出</w:t>
      </w:r>
      <w:r>
        <w:rPr>
          <w:rFonts w:ascii="宋体" w:eastAsia="宋体" w:hAnsi="宋体"/>
          <w:sz w:val="24"/>
          <w:szCs w:val="24"/>
        </w:rPr>
        <w:t>，</w:t>
      </w:r>
      <w:r>
        <w:rPr>
          <w:rFonts w:ascii="宋体" w:eastAsia="宋体" w:hAnsi="宋体" w:hint="eastAsia"/>
          <w:sz w:val="24"/>
          <w:szCs w:val="24"/>
        </w:rPr>
        <w:t>“发电企业宜每月预测配额量，与同期排放量对比，测算配额盈缺，为企业参与市场交易提供基础数据”，以便发电企业提前</w:t>
      </w:r>
      <w:r>
        <w:rPr>
          <w:rFonts w:ascii="宋体" w:eastAsia="宋体" w:hAnsi="宋体"/>
          <w:sz w:val="24"/>
          <w:szCs w:val="24"/>
        </w:rPr>
        <w:t>应对。</w:t>
      </w:r>
    </w:p>
    <w:p w:rsidR="001A7438" w:rsidRDefault="00534921">
      <w:pPr>
        <w:pStyle w:val="af4"/>
        <w:numPr>
          <w:ilvl w:val="1"/>
          <w:numId w:val="3"/>
        </w:numPr>
        <w:topLinePunct/>
        <w:spacing w:line="500" w:lineRule="exact"/>
        <w:ind w:left="0" w:firstLine="480"/>
        <w:rPr>
          <w:rFonts w:ascii="宋体" w:eastAsia="宋体" w:hAnsi="宋体"/>
          <w:sz w:val="24"/>
          <w:szCs w:val="24"/>
        </w:rPr>
      </w:pPr>
      <w:r>
        <w:rPr>
          <w:rFonts w:ascii="宋体" w:eastAsia="宋体" w:hAnsi="宋体" w:hint="eastAsia"/>
          <w:sz w:val="24"/>
          <w:szCs w:val="24"/>
        </w:rPr>
        <w:t>第6.5.1条“账户管理”给出了发电企业账户管理的重点工作事项，参考试点</w:t>
      </w:r>
      <w:proofErr w:type="gramStart"/>
      <w:r>
        <w:rPr>
          <w:rFonts w:ascii="宋体" w:eastAsia="宋体" w:hAnsi="宋体" w:hint="eastAsia"/>
          <w:sz w:val="24"/>
          <w:szCs w:val="24"/>
        </w:rPr>
        <w:t>碳市场</w:t>
      </w:r>
      <w:proofErr w:type="gramEnd"/>
      <w:r>
        <w:rPr>
          <w:rFonts w:ascii="宋体" w:eastAsia="宋体" w:hAnsi="宋体" w:hint="eastAsia"/>
          <w:sz w:val="24"/>
          <w:szCs w:val="24"/>
        </w:rPr>
        <w:t>运行经验，列出了企业需要开立的三个账户类型，指导发电企业管理账户。</w:t>
      </w:r>
    </w:p>
    <w:p w:rsidR="001A7438" w:rsidRDefault="00534921">
      <w:pPr>
        <w:pStyle w:val="af4"/>
        <w:numPr>
          <w:ilvl w:val="1"/>
          <w:numId w:val="3"/>
        </w:numPr>
        <w:topLinePunct/>
        <w:spacing w:line="500" w:lineRule="exact"/>
        <w:ind w:left="0" w:firstLine="480"/>
        <w:rPr>
          <w:rFonts w:ascii="宋体" w:eastAsia="宋体" w:hAnsi="宋体"/>
          <w:sz w:val="24"/>
          <w:szCs w:val="24"/>
        </w:rPr>
      </w:pPr>
      <w:r>
        <w:rPr>
          <w:rFonts w:ascii="宋体" w:eastAsia="宋体" w:hAnsi="宋体" w:hint="eastAsia"/>
          <w:sz w:val="24"/>
          <w:szCs w:val="24"/>
        </w:rPr>
        <w:t>为充分发挥集团公司的规模优势，实现低成本履约，本指南借鉴大型发电集团的管理经验，在第6.5.2条“交易管理”提出，对于集中管理的发电集团应该遵循“优先内部调剂，余量或缺口面向市场交易”的原则。</w:t>
      </w:r>
    </w:p>
    <w:p w:rsidR="001A7438" w:rsidRDefault="00534921">
      <w:pPr>
        <w:pStyle w:val="af4"/>
        <w:numPr>
          <w:ilvl w:val="1"/>
          <w:numId w:val="3"/>
        </w:numPr>
        <w:topLinePunct/>
        <w:spacing w:line="500" w:lineRule="exact"/>
        <w:ind w:left="0" w:firstLine="480"/>
        <w:rPr>
          <w:rFonts w:ascii="宋体" w:eastAsia="宋体" w:hAnsi="宋体"/>
          <w:sz w:val="24"/>
          <w:szCs w:val="24"/>
        </w:rPr>
      </w:pPr>
      <w:r>
        <w:rPr>
          <w:rFonts w:ascii="宋体" w:eastAsia="宋体" w:hAnsi="宋体" w:hint="eastAsia"/>
          <w:sz w:val="24"/>
          <w:szCs w:val="24"/>
        </w:rPr>
        <w:t>交易方案制定</w:t>
      </w:r>
      <w:proofErr w:type="gramStart"/>
      <w:r>
        <w:rPr>
          <w:rFonts w:ascii="宋体" w:eastAsia="宋体" w:hAnsi="宋体" w:hint="eastAsia"/>
          <w:sz w:val="24"/>
          <w:szCs w:val="24"/>
        </w:rPr>
        <w:t>是碳排放权</w:t>
      </w:r>
      <w:proofErr w:type="gramEnd"/>
      <w:r>
        <w:rPr>
          <w:rFonts w:ascii="宋体" w:eastAsia="宋体" w:hAnsi="宋体" w:hint="eastAsia"/>
          <w:sz w:val="24"/>
          <w:szCs w:val="24"/>
        </w:rPr>
        <w:t>交易实施的重点内容，为保证交易方案合理、可行，本指南第6.5.2.3条提出交易方案经审批方可执行，列出了交易价格、交易量、成本收益等交易方案应包含的主要内容，并在附录中给出了交易方案示例，供发电企业参考。</w:t>
      </w:r>
    </w:p>
    <w:p w:rsidR="001A7438" w:rsidRDefault="00534921">
      <w:pPr>
        <w:pStyle w:val="af4"/>
        <w:numPr>
          <w:ilvl w:val="1"/>
          <w:numId w:val="3"/>
        </w:numPr>
        <w:topLinePunct/>
        <w:spacing w:line="500" w:lineRule="exact"/>
        <w:ind w:left="0" w:firstLine="480"/>
        <w:rPr>
          <w:rFonts w:ascii="宋体" w:eastAsia="宋体" w:hAnsi="宋体"/>
          <w:sz w:val="24"/>
          <w:szCs w:val="24"/>
        </w:rPr>
      </w:pPr>
      <w:r>
        <w:rPr>
          <w:rFonts w:ascii="宋体" w:eastAsia="宋体" w:hAnsi="宋体" w:hint="eastAsia"/>
          <w:sz w:val="24"/>
          <w:szCs w:val="24"/>
        </w:rPr>
        <w:t>第6.5.2.4条“交易实施”提出了线上交易和线下交易的注意事项，并借鉴其他类型交易市场的普遍做法，强调发电企业应对交易员进行授权管理，实行交易日报、周报、月报制度，以保证交易安全。</w:t>
      </w:r>
    </w:p>
    <w:p w:rsidR="001A7438" w:rsidRDefault="00534921">
      <w:pPr>
        <w:pStyle w:val="af4"/>
        <w:numPr>
          <w:ilvl w:val="1"/>
          <w:numId w:val="3"/>
        </w:numPr>
        <w:topLinePunct/>
        <w:spacing w:line="500" w:lineRule="exact"/>
        <w:ind w:left="0" w:firstLine="480"/>
        <w:rPr>
          <w:rFonts w:ascii="宋体" w:eastAsia="宋体" w:hAnsi="宋体"/>
          <w:sz w:val="24"/>
          <w:szCs w:val="24"/>
        </w:rPr>
      </w:pPr>
      <w:r>
        <w:rPr>
          <w:rFonts w:ascii="宋体" w:eastAsia="宋体" w:hAnsi="宋体" w:hint="eastAsia"/>
          <w:sz w:val="24"/>
          <w:szCs w:val="24"/>
        </w:rPr>
        <w:t>资金到位是</w:t>
      </w:r>
      <w:proofErr w:type="gramStart"/>
      <w:r>
        <w:rPr>
          <w:rFonts w:ascii="宋体" w:eastAsia="宋体" w:hAnsi="宋体" w:hint="eastAsia"/>
          <w:sz w:val="24"/>
          <w:szCs w:val="24"/>
        </w:rPr>
        <w:t>碳交易</w:t>
      </w:r>
      <w:proofErr w:type="gramEnd"/>
      <w:r>
        <w:rPr>
          <w:rFonts w:ascii="宋体" w:eastAsia="宋体" w:hAnsi="宋体" w:hint="eastAsia"/>
          <w:sz w:val="24"/>
          <w:szCs w:val="24"/>
        </w:rPr>
        <w:t>实施的必要条件，本指南第6.5.3条指出发电企业要提前制定</w:t>
      </w:r>
      <w:proofErr w:type="gramStart"/>
      <w:r>
        <w:rPr>
          <w:rFonts w:ascii="宋体" w:eastAsia="宋体" w:hAnsi="宋体" w:hint="eastAsia"/>
          <w:sz w:val="24"/>
          <w:szCs w:val="24"/>
        </w:rPr>
        <w:t>碳交</w:t>
      </w:r>
      <w:proofErr w:type="gramEnd"/>
      <w:r>
        <w:rPr>
          <w:rFonts w:ascii="宋体" w:eastAsia="宋体" w:hAnsi="宋体" w:hint="eastAsia"/>
          <w:sz w:val="24"/>
          <w:szCs w:val="24"/>
        </w:rPr>
        <w:t>易资金计划，及时调拨资金，以免因为资金问题错失市场交易时机。</w:t>
      </w:r>
    </w:p>
    <w:p w:rsidR="001A7438" w:rsidRDefault="00534921">
      <w:pPr>
        <w:pStyle w:val="af4"/>
        <w:numPr>
          <w:ilvl w:val="1"/>
          <w:numId w:val="3"/>
        </w:numPr>
        <w:topLinePunct/>
        <w:spacing w:line="500" w:lineRule="exact"/>
        <w:ind w:left="0" w:firstLine="480"/>
        <w:rPr>
          <w:rFonts w:ascii="宋体" w:eastAsia="宋体" w:hAnsi="宋体"/>
          <w:sz w:val="24"/>
          <w:szCs w:val="24"/>
        </w:rPr>
      </w:pPr>
      <w:r>
        <w:rPr>
          <w:rFonts w:ascii="宋体" w:eastAsia="宋体" w:hAnsi="宋体" w:hint="eastAsia"/>
          <w:sz w:val="24"/>
          <w:szCs w:val="24"/>
        </w:rPr>
        <w:t>为提高发电企业的风险防控意识，本指南第</w:t>
      </w:r>
      <w:r>
        <w:rPr>
          <w:rFonts w:ascii="宋体" w:eastAsia="宋体" w:hAnsi="宋体"/>
          <w:sz w:val="24"/>
          <w:szCs w:val="24"/>
        </w:rPr>
        <w:t>6.10条“风险控制</w:t>
      </w:r>
      <w:r>
        <w:rPr>
          <w:rFonts w:ascii="宋体" w:eastAsia="宋体" w:hAnsi="宋体" w:hint="eastAsia"/>
          <w:sz w:val="24"/>
          <w:szCs w:val="24"/>
        </w:rPr>
        <w:t>”列出了政策、技术、交易、市场、资金等五个常见的风险类型，并给出了“政策研</w:t>
      </w:r>
      <w:r>
        <w:rPr>
          <w:rFonts w:ascii="宋体" w:eastAsia="宋体" w:hAnsi="宋体" w:hint="eastAsia"/>
          <w:sz w:val="24"/>
          <w:szCs w:val="24"/>
        </w:rPr>
        <w:lastRenderedPageBreak/>
        <w:t>究”、“交易授权”、“信息隔离”等八条典型的风险防控措施，供企业参考。发电企业参与全国</w:t>
      </w:r>
      <w:proofErr w:type="gramStart"/>
      <w:r>
        <w:rPr>
          <w:rFonts w:ascii="宋体" w:eastAsia="宋体" w:hAnsi="宋体" w:hint="eastAsia"/>
          <w:sz w:val="24"/>
          <w:szCs w:val="24"/>
        </w:rPr>
        <w:t>碳市场</w:t>
      </w:r>
      <w:proofErr w:type="gramEnd"/>
      <w:r>
        <w:rPr>
          <w:rFonts w:ascii="宋体" w:eastAsia="宋体" w:hAnsi="宋体" w:hint="eastAsia"/>
          <w:sz w:val="24"/>
          <w:szCs w:val="24"/>
        </w:rPr>
        <w:t>应注意及时总结，随着市场交易品种和交易方式的丰富，积极借鉴其他类型交易市场的风险管理方法和经验，不断提高风险防控能力。</w:t>
      </w:r>
    </w:p>
    <w:bookmarkEnd w:id="3"/>
    <w:p w:rsidR="001A7438" w:rsidRDefault="001A7438">
      <w:pPr>
        <w:rPr>
          <w:rFonts w:ascii="宋体" w:hAnsi="宋体"/>
          <w:sz w:val="28"/>
        </w:rPr>
      </w:pPr>
    </w:p>
    <w:sectPr w:rsidR="001A743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505" w:rsidRDefault="00B17505">
      <w:r>
        <w:separator/>
      </w:r>
    </w:p>
  </w:endnote>
  <w:endnote w:type="continuationSeparator" w:id="0">
    <w:p w:rsidR="00B17505" w:rsidRDefault="00B1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770784"/>
      <w:docPartObj>
        <w:docPartGallery w:val="AutoText"/>
      </w:docPartObj>
    </w:sdtPr>
    <w:sdtEndPr>
      <w:rPr>
        <w:rFonts w:ascii="Times New Roman" w:hAnsi="Times New Roman" w:cs="Times New Roman"/>
      </w:rPr>
    </w:sdtEndPr>
    <w:sdtContent>
      <w:p w:rsidR="001A7438" w:rsidRDefault="00534921">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505" w:rsidRDefault="00B17505">
      <w:r>
        <w:separator/>
      </w:r>
    </w:p>
  </w:footnote>
  <w:footnote w:type="continuationSeparator" w:id="0">
    <w:p w:rsidR="00B17505" w:rsidRDefault="00B17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438" w:rsidRDefault="00534921">
    <w:pPr>
      <w:pStyle w:val="af"/>
      <w:rPr>
        <w:rFonts w:ascii="宋体" w:eastAsia="宋体" w:hAnsi="宋体"/>
      </w:rPr>
    </w:pPr>
    <w:r>
      <w:rPr>
        <w:rFonts w:ascii="宋体" w:eastAsia="宋体" w:hAnsi="宋体" w:hint="eastAsia"/>
      </w:rPr>
      <w:t>《发电企业碳排放权交易技术指南》编制说明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008CA"/>
    <w:multiLevelType w:val="multilevel"/>
    <w:tmpl w:val="287008CA"/>
    <w:lvl w:ilvl="0">
      <w:start w:val="1"/>
      <w:numFmt w:val="decimal"/>
      <w:suff w:val="nothing"/>
      <w:lvlText w:val="%1　"/>
      <w:lvlJc w:val="left"/>
      <w:pPr>
        <w:ind w:left="0" w:firstLine="0"/>
      </w:pPr>
      <w:rPr>
        <w:rFonts w:eastAsia="黑体" w:hint="eastAsia"/>
        <w:b w:val="0"/>
        <w:i w:val="0"/>
        <w:sz w:val="21"/>
      </w:rPr>
    </w:lvl>
    <w:lvl w:ilvl="1">
      <w:start w:val="1"/>
      <w:numFmt w:val="decimal"/>
      <w:pStyle w:val="a"/>
      <w:suff w:val="nothing"/>
      <w:lvlText w:val="%1.%2　"/>
      <w:lvlJc w:val="left"/>
      <w:pPr>
        <w:ind w:left="318" w:firstLine="0"/>
      </w:pPr>
      <w:rPr>
        <w:rFonts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pStyle w:val="a0"/>
      <w:suff w:val="nothing"/>
      <w:lvlText w:val="%1.%2.%3　"/>
      <w:lvlJc w:val="left"/>
      <w:pPr>
        <w:ind w:left="142" w:firstLine="0"/>
      </w:pPr>
      <w:rPr>
        <w:rFonts w:ascii="黑体" w:eastAsia="黑体" w:hAnsi="黑体" w:cs="Times New Roman" w:hint="default"/>
        <w:sz w:val="21"/>
        <w:szCs w:val="21"/>
      </w:rPr>
    </w:lvl>
    <w:lvl w:ilvl="3">
      <w:start w:val="1"/>
      <w:numFmt w:val="decimal"/>
      <w:suff w:val="nothing"/>
      <w:lvlText w:val="%1.%2.%3.%4　"/>
      <w:lvlJc w:val="left"/>
      <w:pPr>
        <w:ind w:left="0" w:firstLine="0"/>
      </w:pPr>
      <w:rPr>
        <w:rFonts w:ascii="黑体" w:eastAsia="黑体" w:hAnsi="黑体" w:hint="eastAsia"/>
        <w:b w:val="0"/>
        <w:i w:val="0"/>
        <w:sz w:val="21"/>
      </w:rPr>
    </w:lvl>
    <w:lvl w:ilvl="4">
      <w:start w:val="1"/>
      <w:numFmt w:val="decimal"/>
      <w:lvlText w:val="%1.%2.%3.%4.%5"/>
      <w:lvlJc w:val="left"/>
      <w:pPr>
        <w:ind w:left="1272" w:firstLine="0"/>
      </w:pPr>
      <w:rPr>
        <w:rFonts w:hint="eastAsia"/>
      </w:rPr>
    </w:lvl>
    <w:lvl w:ilvl="5">
      <w:start w:val="1"/>
      <w:numFmt w:val="decimal"/>
      <w:lvlText w:val="%1.%2.%3.%4.%5.%6"/>
      <w:lvlJc w:val="left"/>
      <w:pPr>
        <w:ind w:left="1590" w:firstLine="0"/>
      </w:pPr>
      <w:rPr>
        <w:rFonts w:hint="eastAsia"/>
      </w:rPr>
    </w:lvl>
    <w:lvl w:ilvl="6">
      <w:start w:val="1"/>
      <w:numFmt w:val="decimal"/>
      <w:lvlText w:val="%1.%2.%3.%4.%5.%6.%7"/>
      <w:lvlJc w:val="left"/>
      <w:pPr>
        <w:ind w:left="1908" w:firstLine="0"/>
      </w:pPr>
      <w:rPr>
        <w:rFonts w:hint="eastAsia"/>
      </w:rPr>
    </w:lvl>
    <w:lvl w:ilvl="7">
      <w:start w:val="1"/>
      <w:numFmt w:val="decimal"/>
      <w:lvlText w:val="%1.%2.%3.%4.%5.%6.%7.%8"/>
      <w:lvlJc w:val="left"/>
      <w:pPr>
        <w:ind w:left="2226" w:firstLine="0"/>
      </w:pPr>
      <w:rPr>
        <w:rFonts w:hint="eastAsia"/>
      </w:rPr>
    </w:lvl>
    <w:lvl w:ilvl="8">
      <w:start w:val="1"/>
      <w:numFmt w:val="decimal"/>
      <w:lvlText w:val="%1.%2.%3.%4.%5.%6.%7.%8.%9"/>
      <w:lvlJc w:val="left"/>
      <w:pPr>
        <w:ind w:left="2544" w:firstLine="0"/>
      </w:pPr>
      <w:rPr>
        <w:rFonts w:hint="eastAsia"/>
      </w:rPr>
    </w:lvl>
  </w:abstractNum>
  <w:abstractNum w:abstractNumId="1" w15:restartNumberingAfterBreak="0">
    <w:nsid w:val="2F476C8F"/>
    <w:multiLevelType w:val="multilevel"/>
    <w:tmpl w:val="2F476C8F"/>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6F27542"/>
    <w:multiLevelType w:val="multilevel"/>
    <w:tmpl w:val="46F27542"/>
    <w:lvl w:ilvl="0">
      <w:start w:val="1"/>
      <w:numFmt w:val="decimal"/>
      <w:lvlText w:val="（%1）"/>
      <w:lvlJc w:val="left"/>
      <w:pPr>
        <w:ind w:left="90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22F"/>
    <w:rsid w:val="0001348E"/>
    <w:rsid w:val="000157E0"/>
    <w:rsid w:val="00022A61"/>
    <w:rsid w:val="00024982"/>
    <w:rsid w:val="0002680B"/>
    <w:rsid w:val="000410EA"/>
    <w:rsid w:val="000430AC"/>
    <w:rsid w:val="00047AA1"/>
    <w:rsid w:val="000622D0"/>
    <w:rsid w:val="000624E0"/>
    <w:rsid w:val="00062546"/>
    <w:rsid w:val="00062881"/>
    <w:rsid w:val="000718E0"/>
    <w:rsid w:val="00074691"/>
    <w:rsid w:val="000808BB"/>
    <w:rsid w:val="00092193"/>
    <w:rsid w:val="00095C2C"/>
    <w:rsid w:val="000B4433"/>
    <w:rsid w:val="000C1569"/>
    <w:rsid w:val="000C1C92"/>
    <w:rsid w:val="000D0300"/>
    <w:rsid w:val="000D73BF"/>
    <w:rsid w:val="000D7598"/>
    <w:rsid w:val="000E623D"/>
    <w:rsid w:val="000E7265"/>
    <w:rsid w:val="0010573A"/>
    <w:rsid w:val="00105756"/>
    <w:rsid w:val="001078D4"/>
    <w:rsid w:val="00111372"/>
    <w:rsid w:val="00124551"/>
    <w:rsid w:val="00126A71"/>
    <w:rsid w:val="00130038"/>
    <w:rsid w:val="00140D03"/>
    <w:rsid w:val="00142AF2"/>
    <w:rsid w:val="001439B8"/>
    <w:rsid w:val="00145166"/>
    <w:rsid w:val="00155CAC"/>
    <w:rsid w:val="0016193F"/>
    <w:rsid w:val="001804FF"/>
    <w:rsid w:val="00192278"/>
    <w:rsid w:val="00195D30"/>
    <w:rsid w:val="001A7438"/>
    <w:rsid w:val="001B6991"/>
    <w:rsid w:val="001C5571"/>
    <w:rsid w:val="001D6BAA"/>
    <w:rsid w:val="001D79F1"/>
    <w:rsid w:val="001E111C"/>
    <w:rsid w:val="001E2447"/>
    <w:rsid w:val="0020342B"/>
    <w:rsid w:val="002058EF"/>
    <w:rsid w:val="002073C0"/>
    <w:rsid w:val="00212F6F"/>
    <w:rsid w:val="00215043"/>
    <w:rsid w:val="00224187"/>
    <w:rsid w:val="00226002"/>
    <w:rsid w:val="002260AF"/>
    <w:rsid w:val="00227C9F"/>
    <w:rsid w:val="0023768A"/>
    <w:rsid w:val="00243039"/>
    <w:rsid w:val="00243580"/>
    <w:rsid w:val="0024726A"/>
    <w:rsid w:val="00252419"/>
    <w:rsid w:val="00252D9F"/>
    <w:rsid w:val="00261D13"/>
    <w:rsid w:val="00272539"/>
    <w:rsid w:val="00272D2A"/>
    <w:rsid w:val="00284843"/>
    <w:rsid w:val="002848D4"/>
    <w:rsid w:val="00284DD6"/>
    <w:rsid w:val="00296612"/>
    <w:rsid w:val="002A1253"/>
    <w:rsid w:val="002A1F4A"/>
    <w:rsid w:val="002A2615"/>
    <w:rsid w:val="002A39C3"/>
    <w:rsid w:val="002B3502"/>
    <w:rsid w:val="002B4964"/>
    <w:rsid w:val="002B5B5D"/>
    <w:rsid w:val="002B6037"/>
    <w:rsid w:val="002B6996"/>
    <w:rsid w:val="002C4064"/>
    <w:rsid w:val="002C57A1"/>
    <w:rsid w:val="002D4B8E"/>
    <w:rsid w:val="002D6CD5"/>
    <w:rsid w:val="002E135F"/>
    <w:rsid w:val="002E594A"/>
    <w:rsid w:val="00301979"/>
    <w:rsid w:val="0030796B"/>
    <w:rsid w:val="0033231D"/>
    <w:rsid w:val="00332B5D"/>
    <w:rsid w:val="003377B8"/>
    <w:rsid w:val="003460CE"/>
    <w:rsid w:val="00346E92"/>
    <w:rsid w:val="00347D5C"/>
    <w:rsid w:val="00353564"/>
    <w:rsid w:val="00363404"/>
    <w:rsid w:val="003709A1"/>
    <w:rsid w:val="00391261"/>
    <w:rsid w:val="00392BF1"/>
    <w:rsid w:val="00397406"/>
    <w:rsid w:val="003A09F9"/>
    <w:rsid w:val="003A0DDB"/>
    <w:rsid w:val="003A62C7"/>
    <w:rsid w:val="003B12F9"/>
    <w:rsid w:val="003C183C"/>
    <w:rsid w:val="003D0659"/>
    <w:rsid w:val="003D656D"/>
    <w:rsid w:val="003F2A99"/>
    <w:rsid w:val="003F345E"/>
    <w:rsid w:val="003F595F"/>
    <w:rsid w:val="003F7B44"/>
    <w:rsid w:val="004062B0"/>
    <w:rsid w:val="00424AD4"/>
    <w:rsid w:val="00436AF9"/>
    <w:rsid w:val="00436E2B"/>
    <w:rsid w:val="00440C65"/>
    <w:rsid w:val="0044529C"/>
    <w:rsid w:val="00457AF8"/>
    <w:rsid w:val="00461706"/>
    <w:rsid w:val="004632E8"/>
    <w:rsid w:val="00466F14"/>
    <w:rsid w:val="00471679"/>
    <w:rsid w:val="0047231E"/>
    <w:rsid w:val="00473753"/>
    <w:rsid w:val="004848E7"/>
    <w:rsid w:val="00485B09"/>
    <w:rsid w:val="00486536"/>
    <w:rsid w:val="004A6444"/>
    <w:rsid w:val="004B1824"/>
    <w:rsid w:val="004B3E4B"/>
    <w:rsid w:val="004C5C62"/>
    <w:rsid w:val="004C7AD9"/>
    <w:rsid w:val="004D6A5C"/>
    <w:rsid w:val="004E2147"/>
    <w:rsid w:val="004E7733"/>
    <w:rsid w:val="00502F0D"/>
    <w:rsid w:val="00510BCD"/>
    <w:rsid w:val="00511159"/>
    <w:rsid w:val="00515678"/>
    <w:rsid w:val="00516072"/>
    <w:rsid w:val="005166C7"/>
    <w:rsid w:val="00517153"/>
    <w:rsid w:val="00522DF6"/>
    <w:rsid w:val="00524F52"/>
    <w:rsid w:val="00526138"/>
    <w:rsid w:val="00530302"/>
    <w:rsid w:val="00534921"/>
    <w:rsid w:val="00540C2D"/>
    <w:rsid w:val="00545983"/>
    <w:rsid w:val="005478B1"/>
    <w:rsid w:val="00554103"/>
    <w:rsid w:val="00574189"/>
    <w:rsid w:val="00574554"/>
    <w:rsid w:val="005751A8"/>
    <w:rsid w:val="005919E2"/>
    <w:rsid w:val="005A2185"/>
    <w:rsid w:val="005A2EE3"/>
    <w:rsid w:val="005A3EE2"/>
    <w:rsid w:val="005A45B4"/>
    <w:rsid w:val="005A65C7"/>
    <w:rsid w:val="005B09F0"/>
    <w:rsid w:val="005B0C08"/>
    <w:rsid w:val="005B746B"/>
    <w:rsid w:val="005B779B"/>
    <w:rsid w:val="005D0C5D"/>
    <w:rsid w:val="005D4606"/>
    <w:rsid w:val="005E1831"/>
    <w:rsid w:val="005E4E86"/>
    <w:rsid w:val="005E6281"/>
    <w:rsid w:val="005E79D2"/>
    <w:rsid w:val="005F2892"/>
    <w:rsid w:val="005F3130"/>
    <w:rsid w:val="00612CBC"/>
    <w:rsid w:val="0061449E"/>
    <w:rsid w:val="00616BB5"/>
    <w:rsid w:val="0062622F"/>
    <w:rsid w:val="00627AC1"/>
    <w:rsid w:val="00630875"/>
    <w:rsid w:val="00640E9A"/>
    <w:rsid w:val="00654997"/>
    <w:rsid w:val="00671042"/>
    <w:rsid w:val="00671F3F"/>
    <w:rsid w:val="006966DB"/>
    <w:rsid w:val="006968F8"/>
    <w:rsid w:val="0069741B"/>
    <w:rsid w:val="006A46FD"/>
    <w:rsid w:val="006A514D"/>
    <w:rsid w:val="006B6EC3"/>
    <w:rsid w:val="006C59B2"/>
    <w:rsid w:val="006C659F"/>
    <w:rsid w:val="006D1651"/>
    <w:rsid w:val="006D6B53"/>
    <w:rsid w:val="006F3AB0"/>
    <w:rsid w:val="00703BDC"/>
    <w:rsid w:val="00704EC4"/>
    <w:rsid w:val="007114A1"/>
    <w:rsid w:val="00713107"/>
    <w:rsid w:val="0071312C"/>
    <w:rsid w:val="00713B2A"/>
    <w:rsid w:val="00720DFD"/>
    <w:rsid w:val="00734A74"/>
    <w:rsid w:val="00746DBD"/>
    <w:rsid w:val="00747041"/>
    <w:rsid w:val="00751ED3"/>
    <w:rsid w:val="00753AAF"/>
    <w:rsid w:val="007614EC"/>
    <w:rsid w:val="00764D8D"/>
    <w:rsid w:val="00766AB4"/>
    <w:rsid w:val="00780E31"/>
    <w:rsid w:val="0078128E"/>
    <w:rsid w:val="007919AE"/>
    <w:rsid w:val="007A6F78"/>
    <w:rsid w:val="007C441B"/>
    <w:rsid w:val="007C555F"/>
    <w:rsid w:val="007D1155"/>
    <w:rsid w:val="007E0C74"/>
    <w:rsid w:val="007F6EF7"/>
    <w:rsid w:val="0080044F"/>
    <w:rsid w:val="00810AE5"/>
    <w:rsid w:val="00814989"/>
    <w:rsid w:val="008207B2"/>
    <w:rsid w:val="00826AE9"/>
    <w:rsid w:val="008331DB"/>
    <w:rsid w:val="00837E90"/>
    <w:rsid w:val="0084337B"/>
    <w:rsid w:val="00844F94"/>
    <w:rsid w:val="00845FCB"/>
    <w:rsid w:val="008547FB"/>
    <w:rsid w:val="00856322"/>
    <w:rsid w:val="00861A76"/>
    <w:rsid w:val="008727E8"/>
    <w:rsid w:val="00877A8F"/>
    <w:rsid w:val="0088107A"/>
    <w:rsid w:val="00885207"/>
    <w:rsid w:val="0089578D"/>
    <w:rsid w:val="00897376"/>
    <w:rsid w:val="008B031C"/>
    <w:rsid w:val="008B05CF"/>
    <w:rsid w:val="008C1173"/>
    <w:rsid w:val="008C73B5"/>
    <w:rsid w:val="008D1E37"/>
    <w:rsid w:val="008D4DA0"/>
    <w:rsid w:val="008F42F7"/>
    <w:rsid w:val="008F5955"/>
    <w:rsid w:val="00910094"/>
    <w:rsid w:val="0091394B"/>
    <w:rsid w:val="00914188"/>
    <w:rsid w:val="009171D4"/>
    <w:rsid w:val="0092601F"/>
    <w:rsid w:val="0092620A"/>
    <w:rsid w:val="00930D89"/>
    <w:rsid w:val="009417DA"/>
    <w:rsid w:val="00942B1A"/>
    <w:rsid w:val="009475BB"/>
    <w:rsid w:val="00947ACE"/>
    <w:rsid w:val="00956E6E"/>
    <w:rsid w:val="0096122E"/>
    <w:rsid w:val="009632F8"/>
    <w:rsid w:val="00971630"/>
    <w:rsid w:val="00971CE5"/>
    <w:rsid w:val="00976DDA"/>
    <w:rsid w:val="00995088"/>
    <w:rsid w:val="009A70A9"/>
    <w:rsid w:val="009A7EC8"/>
    <w:rsid w:val="009B5162"/>
    <w:rsid w:val="009B522D"/>
    <w:rsid w:val="009C1FCA"/>
    <w:rsid w:val="009E0E4B"/>
    <w:rsid w:val="009E3610"/>
    <w:rsid w:val="009F595C"/>
    <w:rsid w:val="00A00119"/>
    <w:rsid w:val="00A01572"/>
    <w:rsid w:val="00A11890"/>
    <w:rsid w:val="00A12644"/>
    <w:rsid w:val="00A153C8"/>
    <w:rsid w:val="00A174FF"/>
    <w:rsid w:val="00A20ECE"/>
    <w:rsid w:val="00A26309"/>
    <w:rsid w:val="00A30EF2"/>
    <w:rsid w:val="00A315A4"/>
    <w:rsid w:val="00A444EB"/>
    <w:rsid w:val="00A601F5"/>
    <w:rsid w:val="00A6073C"/>
    <w:rsid w:val="00A61630"/>
    <w:rsid w:val="00A62E21"/>
    <w:rsid w:val="00A74F9E"/>
    <w:rsid w:val="00A830B0"/>
    <w:rsid w:val="00A845B3"/>
    <w:rsid w:val="00A871E2"/>
    <w:rsid w:val="00AC1F4F"/>
    <w:rsid w:val="00AC4756"/>
    <w:rsid w:val="00AC4E6E"/>
    <w:rsid w:val="00AC6EC8"/>
    <w:rsid w:val="00AD1CE5"/>
    <w:rsid w:val="00AE1384"/>
    <w:rsid w:val="00AE21F4"/>
    <w:rsid w:val="00AE325E"/>
    <w:rsid w:val="00AE5CA1"/>
    <w:rsid w:val="00AF6295"/>
    <w:rsid w:val="00AF771D"/>
    <w:rsid w:val="00B10055"/>
    <w:rsid w:val="00B17505"/>
    <w:rsid w:val="00B17FD0"/>
    <w:rsid w:val="00B20BCC"/>
    <w:rsid w:val="00B21615"/>
    <w:rsid w:val="00B26351"/>
    <w:rsid w:val="00B312D9"/>
    <w:rsid w:val="00B324D2"/>
    <w:rsid w:val="00B44C71"/>
    <w:rsid w:val="00B6270F"/>
    <w:rsid w:val="00B7553C"/>
    <w:rsid w:val="00B90008"/>
    <w:rsid w:val="00B93F3A"/>
    <w:rsid w:val="00B97C02"/>
    <w:rsid w:val="00BA12F6"/>
    <w:rsid w:val="00BA663A"/>
    <w:rsid w:val="00BB3667"/>
    <w:rsid w:val="00BB5B3D"/>
    <w:rsid w:val="00BB5DBE"/>
    <w:rsid w:val="00BD6B4D"/>
    <w:rsid w:val="00BE36BA"/>
    <w:rsid w:val="00BE3775"/>
    <w:rsid w:val="00BF3617"/>
    <w:rsid w:val="00C018D3"/>
    <w:rsid w:val="00C030CA"/>
    <w:rsid w:val="00C0612D"/>
    <w:rsid w:val="00C14F19"/>
    <w:rsid w:val="00C2001C"/>
    <w:rsid w:val="00C261B7"/>
    <w:rsid w:val="00C267E9"/>
    <w:rsid w:val="00C27CCC"/>
    <w:rsid w:val="00C42D32"/>
    <w:rsid w:val="00C61121"/>
    <w:rsid w:val="00C72261"/>
    <w:rsid w:val="00C82E1F"/>
    <w:rsid w:val="00C92095"/>
    <w:rsid w:val="00C93305"/>
    <w:rsid w:val="00C95527"/>
    <w:rsid w:val="00CA21F1"/>
    <w:rsid w:val="00CA306E"/>
    <w:rsid w:val="00CA4BAD"/>
    <w:rsid w:val="00CC20DD"/>
    <w:rsid w:val="00CC6267"/>
    <w:rsid w:val="00CD3F8B"/>
    <w:rsid w:val="00CE0668"/>
    <w:rsid w:val="00CE1790"/>
    <w:rsid w:val="00CE6B06"/>
    <w:rsid w:val="00CF18DB"/>
    <w:rsid w:val="00CF7320"/>
    <w:rsid w:val="00CF76CA"/>
    <w:rsid w:val="00D03E21"/>
    <w:rsid w:val="00D04041"/>
    <w:rsid w:val="00D05C42"/>
    <w:rsid w:val="00D071DB"/>
    <w:rsid w:val="00D1155E"/>
    <w:rsid w:val="00D11A8D"/>
    <w:rsid w:val="00D1300B"/>
    <w:rsid w:val="00D13249"/>
    <w:rsid w:val="00D21B23"/>
    <w:rsid w:val="00D222E8"/>
    <w:rsid w:val="00D235A5"/>
    <w:rsid w:val="00D2553D"/>
    <w:rsid w:val="00D42BF8"/>
    <w:rsid w:val="00D66243"/>
    <w:rsid w:val="00D7554D"/>
    <w:rsid w:val="00D8287A"/>
    <w:rsid w:val="00D83D2C"/>
    <w:rsid w:val="00DA107D"/>
    <w:rsid w:val="00DA2C43"/>
    <w:rsid w:val="00DA3F23"/>
    <w:rsid w:val="00DB250D"/>
    <w:rsid w:val="00DC310A"/>
    <w:rsid w:val="00DC442D"/>
    <w:rsid w:val="00DD046D"/>
    <w:rsid w:val="00DD4F42"/>
    <w:rsid w:val="00DD63D5"/>
    <w:rsid w:val="00DF558B"/>
    <w:rsid w:val="00E0256E"/>
    <w:rsid w:val="00E11124"/>
    <w:rsid w:val="00E201EC"/>
    <w:rsid w:val="00E22CA0"/>
    <w:rsid w:val="00E36E9A"/>
    <w:rsid w:val="00E412BC"/>
    <w:rsid w:val="00E47B5E"/>
    <w:rsid w:val="00E57A4C"/>
    <w:rsid w:val="00E616B8"/>
    <w:rsid w:val="00E627B0"/>
    <w:rsid w:val="00E64984"/>
    <w:rsid w:val="00E674E8"/>
    <w:rsid w:val="00E715A5"/>
    <w:rsid w:val="00E86013"/>
    <w:rsid w:val="00E90775"/>
    <w:rsid w:val="00EA2F14"/>
    <w:rsid w:val="00EA76A9"/>
    <w:rsid w:val="00EB4B43"/>
    <w:rsid w:val="00EB6585"/>
    <w:rsid w:val="00EC1099"/>
    <w:rsid w:val="00EC3065"/>
    <w:rsid w:val="00EC322A"/>
    <w:rsid w:val="00F05A95"/>
    <w:rsid w:val="00F14C44"/>
    <w:rsid w:val="00F15DD9"/>
    <w:rsid w:val="00F236A8"/>
    <w:rsid w:val="00F2607C"/>
    <w:rsid w:val="00F33603"/>
    <w:rsid w:val="00F3593E"/>
    <w:rsid w:val="00F417EB"/>
    <w:rsid w:val="00F45A8B"/>
    <w:rsid w:val="00F55252"/>
    <w:rsid w:val="00F67FC0"/>
    <w:rsid w:val="00F86FCE"/>
    <w:rsid w:val="00F9298E"/>
    <w:rsid w:val="00FB2A16"/>
    <w:rsid w:val="00FB329C"/>
    <w:rsid w:val="00FB6D53"/>
    <w:rsid w:val="00FB6FCD"/>
    <w:rsid w:val="00FE5417"/>
    <w:rsid w:val="00FF1553"/>
    <w:rsid w:val="00FF27B8"/>
    <w:rsid w:val="0C7C2766"/>
    <w:rsid w:val="405A7A61"/>
    <w:rsid w:val="43307B12"/>
    <w:rsid w:val="5908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F35A3C8-DA2E-4613-BE6C-67768BEF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kern w:val="2"/>
      <w:sz w:val="21"/>
      <w:szCs w:val="22"/>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a7"/>
    <w:uiPriority w:val="99"/>
    <w:semiHidden/>
    <w:unhideWhenUsed/>
    <w:qFormat/>
    <w:rPr>
      <w:b/>
      <w:bCs/>
    </w:rPr>
  </w:style>
  <w:style w:type="paragraph" w:styleId="a6">
    <w:name w:val="annotation text"/>
    <w:basedOn w:val="a1"/>
    <w:link w:val="a8"/>
    <w:uiPriority w:val="99"/>
    <w:semiHidden/>
    <w:unhideWhenUsed/>
    <w:qFormat/>
    <w:pPr>
      <w:jc w:val="left"/>
    </w:pPr>
  </w:style>
  <w:style w:type="paragraph" w:styleId="a9">
    <w:name w:val="Date"/>
    <w:basedOn w:val="a1"/>
    <w:next w:val="a1"/>
    <w:link w:val="aa"/>
    <w:uiPriority w:val="99"/>
    <w:semiHidden/>
    <w:unhideWhenUsed/>
    <w:qFormat/>
    <w:pPr>
      <w:ind w:leftChars="2500" w:left="100"/>
    </w:pPr>
  </w:style>
  <w:style w:type="paragraph" w:styleId="ab">
    <w:name w:val="Balloon Text"/>
    <w:basedOn w:val="a1"/>
    <w:link w:val="ac"/>
    <w:uiPriority w:val="99"/>
    <w:semiHidden/>
    <w:unhideWhenUsed/>
    <w:qFormat/>
    <w:rPr>
      <w:sz w:val="18"/>
      <w:szCs w:val="18"/>
    </w:rPr>
  </w:style>
  <w:style w:type="paragraph" w:styleId="ad">
    <w:name w:val="footer"/>
    <w:basedOn w:val="a1"/>
    <w:link w:val="ae"/>
    <w:uiPriority w:val="99"/>
    <w:unhideWhenUsed/>
    <w:qFormat/>
    <w:pPr>
      <w:tabs>
        <w:tab w:val="center" w:pos="4153"/>
        <w:tab w:val="right" w:pos="8306"/>
      </w:tabs>
      <w:snapToGrid w:val="0"/>
      <w:jc w:val="left"/>
    </w:pPr>
    <w:rPr>
      <w:sz w:val="18"/>
      <w:szCs w:val="18"/>
    </w:rPr>
  </w:style>
  <w:style w:type="paragraph" w:styleId="af">
    <w:name w:val="header"/>
    <w:basedOn w:val="a1"/>
    <w:link w:val="af0"/>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unhideWhenUsed/>
    <w:qFormat/>
  </w:style>
  <w:style w:type="paragraph" w:styleId="21">
    <w:name w:val="toc 2"/>
    <w:basedOn w:val="a1"/>
    <w:next w:val="a1"/>
    <w:uiPriority w:val="39"/>
    <w:unhideWhenUsed/>
    <w:pPr>
      <w:ind w:leftChars="200" w:left="420"/>
    </w:pPr>
  </w:style>
  <w:style w:type="paragraph" w:styleId="af1">
    <w:name w:val="Normal (Web)"/>
    <w:basedOn w:val="a1"/>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2">
    <w:name w:val="Hyperlink"/>
    <w:basedOn w:val="a2"/>
    <w:uiPriority w:val="99"/>
    <w:unhideWhenUsed/>
    <w:qFormat/>
    <w:rPr>
      <w:color w:val="0563C1" w:themeColor="hyperlink"/>
      <w:u w:val="single"/>
    </w:rPr>
  </w:style>
  <w:style w:type="character" w:styleId="af3">
    <w:name w:val="annotation reference"/>
    <w:basedOn w:val="a2"/>
    <w:uiPriority w:val="99"/>
    <w:semiHidden/>
    <w:unhideWhenUsed/>
    <w:qFormat/>
    <w:rPr>
      <w:sz w:val="21"/>
      <w:szCs w:val="21"/>
    </w:rPr>
  </w:style>
  <w:style w:type="paragraph" w:styleId="af4">
    <w:name w:val="List Paragraph"/>
    <w:basedOn w:val="a1"/>
    <w:uiPriority w:val="34"/>
    <w:qFormat/>
    <w:pPr>
      <w:ind w:firstLineChars="200" w:firstLine="420"/>
    </w:pPr>
  </w:style>
  <w:style w:type="character" w:customStyle="1" w:styleId="10">
    <w:name w:val="标题 1 字符"/>
    <w:basedOn w:val="a2"/>
    <w:link w:val="1"/>
    <w:uiPriority w:val="9"/>
    <w:qFormat/>
    <w:rPr>
      <w:b/>
      <w:bCs/>
      <w:kern w:val="44"/>
      <w:sz w:val="44"/>
      <w:szCs w:val="44"/>
    </w:rPr>
  </w:style>
  <w:style w:type="character" w:customStyle="1" w:styleId="af0">
    <w:name w:val="页眉 字符"/>
    <w:basedOn w:val="a2"/>
    <w:link w:val="af"/>
    <w:uiPriority w:val="99"/>
    <w:qFormat/>
    <w:rPr>
      <w:sz w:val="18"/>
      <w:szCs w:val="18"/>
    </w:rPr>
  </w:style>
  <w:style w:type="character" w:customStyle="1" w:styleId="ae">
    <w:name w:val="页脚 字符"/>
    <w:basedOn w:val="a2"/>
    <w:link w:val="ad"/>
    <w:uiPriority w:val="99"/>
    <w:qFormat/>
    <w:rPr>
      <w:sz w:val="18"/>
      <w:szCs w:val="18"/>
    </w:rPr>
  </w:style>
  <w:style w:type="character" w:customStyle="1" w:styleId="a8">
    <w:name w:val="批注文字 字符"/>
    <w:basedOn w:val="a2"/>
    <w:link w:val="a6"/>
    <w:uiPriority w:val="99"/>
    <w:semiHidden/>
    <w:qFormat/>
  </w:style>
  <w:style w:type="character" w:customStyle="1" w:styleId="a7">
    <w:name w:val="批注主题 字符"/>
    <w:basedOn w:val="a8"/>
    <w:link w:val="a5"/>
    <w:uiPriority w:val="99"/>
    <w:semiHidden/>
    <w:qFormat/>
    <w:rPr>
      <w:b/>
      <w:bCs/>
    </w:rPr>
  </w:style>
  <w:style w:type="paragraph" w:customStyle="1" w:styleId="12">
    <w:name w:val="修订1"/>
    <w:hidden/>
    <w:uiPriority w:val="99"/>
    <w:semiHidden/>
    <w:qFormat/>
    <w:rPr>
      <w:kern w:val="2"/>
      <w:sz w:val="21"/>
      <w:szCs w:val="22"/>
    </w:rPr>
  </w:style>
  <w:style w:type="character" w:customStyle="1" w:styleId="ac">
    <w:name w:val="批注框文本 字符"/>
    <w:basedOn w:val="a2"/>
    <w:link w:val="ab"/>
    <w:uiPriority w:val="99"/>
    <w:semiHidden/>
    <w:qFormat/>
    <w:rPr>
      <w:sz w:val="18"/>
      <w:szCs w:val="18"/>
    </w:rPr>
  </w:style>
  <w:style w:type="character" w:customStyle="1" w:styleId="20">
    <w:name w:val="标题 2 字符"/>
    <w:basedOn w:val="a2"/>
    <w:link w:val="2"/>
    <w:uiPriority w:val="9"/>
    <w:qFormat/>
    <w:rPr>
      <w:rFonts w:ascii="Cambria" w:eastAsia="宋体" w:hAnsi="Cambria" w:cs="Times New Roman"/>
      <w:b/>
      <w:bCs/>
      <w:sz w:val="32"/>
      <w:szCs w:val="32"/>
    </w:rPr>
  </w:style>
  <w:style w:type="paragraph" w:customStyle="1" w:styleId="af5">
    <w:name w:val="段"/>
    <w:qFormat/>
    <w:pPr>
      <w:ind w:firstLineChars="200" w:firstLine="200"/>
      <w:jc w:val="both"/>
    </w:pPr>
    <w:rPr>
      <w:rFonts w:ascii="宋体" w:eastAsia="宋体" w:hAnsi="Times New Roman" w:cs="Times New Roman"/>
      <w:sz w:val="21"/>
    </w:rPr>
  </w:style>
  <w:style w:type="character" w:customStyle="1" w:styleId="aa">
    <w:name w:val="日期 字符"/>
    <w:basedOn w:val="a2"/>
    <w:link w:val="a9"/>
    <w:uiPriority w:val="99"/>
    <w:semiHidden/>
    <w:rPr>
      <w:kern w:val="2"/>
      <w:sz w:val="21"/>
      <w:szCs w:val="22"/>
    </w:rPr>
  </w:style>
  <w:style w:type="character" w:customStyle="1" w:styleId="2Char">
    <w:name w:val="标题 2 Char"/>
    <w:uiPriority w:val="9"/>
    <w:qFormat/>
    <w:rPr>
      <w:b/>
      <w:kern w:val="2"/>
      <w:sz w:val="30"/>
    </w:rPr>
  </w:style>
  <w:style w:type="character" w:customStyle="1" w:styleId="1Char1">
    <w:name w:val="标题 1 Char1"/>
    <w:qFormat/>
    <w:rPr>
      <w:b/>
      <w:kern w:val="44"/>
      <w:sz w:val="44"/>
    </w:rPr>
  </w:style>
  <w:style w:type="paragraph" w:customStyle="1" w:styleId="a0">
    <w:name w:val="样式 一级条标题 + 宋体"/>
    <w:basedOn w:val="a1"/>
    <w:qFormat/>
    <w:pPr>
      <w:widowControl/>
      <w:numPr>
        <w:ilvl w:val="2"/>
        <w:numId w:val="1"/>
      </w:numPr>
      <w:outlineLvl w:val="2"/>
    </w:pPr>
    <w:rPr>
      <w:rFonts w:ascii="宋体" w:eastAsia="黑体" w:hAnsi="宋体" w:cs="Times New Roman"/>
      <w:kern w:val="0"/>
      <w:szCs w:val="20"/>
    </w:rPr>
  </w:style>
  <w:style w:type="paragraph" w:customStyle="1" w:styleId="a">
    <w:name w:val="样式 二级标题+宋体"/>
    <w:basedOn w:val="a1"/>
    <w:qFormat/>
    <w:pPr>
      <w:widowControl/>
      <w:numPr>
        <w:ilvl w:val="1"/>
        <w:numId w:val="1"/>
      </w:numPr>
      <w:jc w:val="left"/>
    </w:pPr>
    <w:rPr>
      <w:rFonts w:ascii="黑体" w:eastAsia="黑体" w:hAnsi="黑体"/>
    </w:rPr>
  </w:style>
  <w:style w:type="paragraph" w:customStyle="1" w:styleId="22">
    <w:name w:val="修订2"/>
    <w:hidden/>
    <w:uiPriority w:val="99"/>
    <w:semiHidden/>
    <w:qFormat/>
    <w:rPr>
      <w:kern w:val="2"/>
      <w:sz w:val="21"/>
      <w:szCs w:val="22"/>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aidu.com/link?url=nprNTbywiZc0CVXOUEBGXkFh4BbH6EMEWCLTXVmsiO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link?url=oLlzJqlL8A4E5IIbeTbjaxQTk1IawKpcTYmEysQvCC6mUJr7AY9O3Es87HM9p0mgalXv9mgduvDtweuvzBnrtn8boXeILR-LG4XSBadfCH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62118-FB59-4EF5-83FD-C28706C1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5374</Words>
  <Characters>2000</Characters>
  <Application>Microsoft Office Word</Application>
  <DocSecurity>0</DocSecurity>
  <Lines>250</Lines>
  <Paragraphs>433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y</dc:creator>
  <cp:lastModifiedBy>李云凝</cp:lastModifiedBy>
  <cp:revision>4</cp:revision>
  <cp:lastPrinted>2018-12-24T02:38:00Z</cp:lastPrinted>
  <dcterms:created xsi:type="dcterms:W3CDTF">2018-12-19T08:32:00Z</dcterms:created>
  <dcterms:modified xsi:type="dcterms:W3CDTF">2018-12-24T02:38:00Z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